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8"/>
      </w:pPr>
    </w:p>
    <w:p>
      <w:pPr>
        <w:pStyle w:val="8"/>
      </w:pPr>
    </w:p>
    <w:p>
      <w:pPr>
        <w:pStyle w:val="8"/>
      </w:pPr>
    </w:p>
    <w:p>
      <w:pPr>
        <w:pStyle w:val="8"/>
        <w:rPr>
          <w:rFonts w:ascii="Cambria" w:hAnsi="Cambria"/>
        </w:rPr>
      </w:pPr>
      <w:r>
        <w:rPr>
          <w:rFonts w:ascii="Cambria" w:hAnsi="Cambria"/>
        </w:rPr>
        <w:t xml:space="preserve">Изменa и допунa Средњорочног програм уређивања грађевинског земљишта општине Србобран </w:t>
      </w:r>
    </w:p>
    <w:p>
      <w:pPr>
        <w:pStyle w:val="8"/>
      </w:pPr>
      <w:r>
        <w:rPr>
          <w:rFonts w:ascii="Cambria" w:hAnsi="Cambria"/>
        </w:rPr>
        <w:t>за период од 2020. до 2023.године</w:t>
      </w:r>
      <w:r>
        <w:br w:type="page"/>
      </w:r>
    </w:p>
    <w:p>
      <w:pPr>
        <w:pStyle w:val="2"/>
        <w:numPr>
          <w:ilvl w:val="0"/>
          <w:numId w:val="0"/>
        </w:numPr>
      </w:pPr>
      <w:r>
        <w:rPr>
          <w:lang w:val="sr-Cyrl-RS"/>
        </w:rPr>
        <w:t>ИЗМЕН</w:t>
      </w:r>
      <w:r>
        <w:t>A</w:t>
      </w:r>
      <w:r>
        <w:rPr>
          <w:lang w:val="sr-Cyrl-RS"/>
        </w:rPr>
        <w:t xml:space="preserve"> И ДОПУН</w:t>
      </w:r>
      <w:r>
        <w:t>A</w:t>
      </w:r>
      <w:r>
        <w:rPr>
          <w:lang w:val="sr-Cyrl-RS"/>
        </w:rPr>
        <w:t xml:space="preserve"> </w:t>
      </w:r>
      <w:r>
        <w:t>СРЕДЊОРОЧН</w:t>
      </w:r>
      <w:r>
        <w:rPr>
          <w:lang w:val="sr-Cyrl-RS"/>
        </w:rPr>
        <w:t>ОГ</w:t>
      </w:r>
      <w:r>
        <w:t xml:space="preserve"> ПРОГРАМ</w:t>
      </w:r>
      <w:r>
        <w:rPr>
          <w:lang w:val="sr-Cyrl-RS"/>
        </w:rPr>
        <w:t>А</w:t>
      </w:r>
      <w:r>
        <w:t xml:space="preserve"> УРЕЂИВАЊА ГРАЂЕВИНСКОГ ЗЕМЉИШТА ОПШТИНЕ </w:t>
      </w:r>
      <w:r>
        <w:rPr>
          <w:lang w:val="sr-Cyrl-RS"/>
        </w:rPr>
        <w:t>СРБОБРАН</w:t>
      </w:r>
      <w:r>
        <w:t xml:space="preserve"> ЗА ПЕРИОД ОД 20</w:t>
      </w:r>
      <w:r>
        <w:rPr>
          <w:lang w:val="sr-Cyrl-RS"/>
        </w:rPr>
        <w:t>20</w:t>
      </w:r>
      <w:r>
        <w:t>. ДО 202</w:t>
      </w:r>
      <w:r>
        <w:rPr>
          <w:lang w:val="sr-Cyrl-RS"/>
        </w:rPr>
        <w:t>3</w:t>
      </w:r>
      <w:r>
        <w:t>. ГОДИНЕ</w:t>
      </w:r>
    </w:p>
    <w:p>
      <w:pPr>
        <w:ind w:firstLine="0"/>
      </w:pPr>
    </w:p>
    <w:p>
      <w:pPr>
        <w:rPr>
          <w:color w:val="auto"/>
        </w:rPr>
      </w:pPr>
      <w:r>
        <w:rPr>
          <w:color w:val="auto"/>
        </w:rPr>
        <w:t xml:space="preserve">Изради </w:t>
      </w:r>
      <w:r>
        <w:rPr>
          <w:color w:val="auto"/>
          <w:lang w:val="sr-Cyrl-RS"/>
        </w:rPr>
        <w:t xml:space="preserve">Измена и допуна </w:t>
      </w:r>
      <w:r>
        <w:rPr>
          <w:color w:val="auto"/>
        </w:rPr>
        <w:t xml:space="preserve">Средњорочног програма уређивања грађевинског земљишта Општине </w:t>
      </w:r>
      <w:r>
        <w:rPr>
          <w:color w:val="auto"/>
          <w:lang w:val="sr-Cyrl-RS"/>
        </w:rPr>
        <w:t>Србобран</w:t>
      </w:r>
      <w:r>
        <w:rPr>
          <w:color w:val="auto"/>
        </w:rPr>
        <w:t xml:space="preserve"> за период од 20</w:t>
      </w:r>
      <w:r>
        <w:rPr>
          <w:color w:val="auto"/>
          <w:lang w:val="sr-Cyrl-RS"/>
        </w:rPr>
        <w:t>20.</w:t>
      </w:r>
      <w:r>
        <w:rPr>
          <w:color w:val="auto"/>
        </w:rPr>
        <w:t xml:space="preserve"> до 202</w:t>
      </w:r>
      <w:r>
        <w:rPr>
          <w:color w:val="auto"/>
          <w:lang w:val="sr-Cyrl-RS"/>
        </w:rPr>
        <w:t>3.</w:t>
      </w:r>
      <w:r>
        <w:rPr>
          <w:color w:val="auto"/>
        </w:rPr>
        <w:t xml:space="preserve"> године ( у даљем тексту : Средњорочни програм) приступило се сагласно одредбама члана 94. став 1. Закона о планирању и изградњи (''Службени гласник РС'', број 72/2009, 81/2009 - испр., 64/2010 – одлука УС, 24/2011, 121/2012, 42/2013 - одлука УС, 50/2013 - одлука УС, 98/2013 - одлука УС, 132/2014</w:t>
      </w:r>
      <w:r>
        <w:rPr>
          <w:color w:val="auto"/>
          <w:lang w:val="sr-Cyrl-RS"/>
        </w:rPr>
        <w:t xml:space="preserve">, </w:t>
      </w:r>
      <w:r>
        <w:rPr>
          <w:color w:val="auto"/>
        </w:rPr>
        <w:t>145/201483/2018</w:t>
      </w:r>
      <w:r>
        <w:rPr>
          <w:color w:val="auto"/>
          <w:lang w:val="sr-Cyrl-RS"/>
        </w:rPr>
        <w:t xml:space="preserve">, </w:t>
      </w:r>
      <w:r>
        <w:rPr>
          <w:rFonts w:hAnsi="Arial Narrow" w:cs="Arial Narrow"/>
          <w:color w:val="auto"/>
          <w:sz w:val="24"/>
          <w:szCs w:val="24"/>
          <w:lang w:val="sr-Cyrl-RS"/>
        </w:rPr>
        <w:t xml:space="preserve">31/2019 </w:t>
      </w:r>
      <w:r>
        <w:rPr>
          <w:rFonts w:hAnsi="Arial Narrow" w:cs="Arial Narrow"/>
          <w:color w:val="auto"/>
          <w:sz w:val="24"/>
          <w:szCs w:val="24"/>
          <w:lang w:val="en-GB"/>
        </w:rPr>
        <w:t>,</w:t>
      </w:r>
      <w:r>
        <w:rPr>
          <w:rFonts w:hAnsi="Arial Narrow" w:cs="Arial Narrow"/>
          <w:color w:val="auto"/>
          <w:sz w:val="24"/>
          <w:szCs w:val="24"/>
          <w:lang w:val="sr-Cyrl-RS"/>
        </w:rPr>
        <w:t xml:space="preserve">37/2019- </w:t>
      </w:r>
      <w:r>
        <w:rPr>
          <w:rFonts w:ascii="Calibri" w:hAnsi="Calibri" w:cs="Calibri"/>
          <w:color w:val="auto"/>
          <w:sz w:val="24"/>
          <w:szCs w:val="24"/>
          <w:lang w:val="sr-Cyrl-RS"/>
        </w:rPr>
        <w:t>други Закон</w:t>
      </w:r>
      <w:r>
        <w:rPr>
          <w:rFonts w:ascii="Calibri" w:hAnsi="Calibri" w:cs="Calibri"/>
          <w:color w:val="auto"/>
          <w:lang w:val="sr-Cyrl-RS"/>
        </w:rPr>
        <w:t xml:space="preserve"> и 9/2020</w:t>
      </w:r>
      <w:r>
        <w:rPr>
          <w:color w:val="auto"/>
        </w:rPr>
        <w:t>), Правилника о садржини,поступку и начину доношења програма уређивања грађевинског земљишта (''Службени гласник РС, број 27/2015)</w:t>
      </w:r>
      <w:r>
        <w:rPr>
          <w:color w:val="auto"/>
          <w:lang w:val="sr-Cyrl-RS"/>
        </w:rPr>
        <w:t>.</w:t>
      </w:r>
    </w:p>
    <w:p>
      <w:pPr>
        <w:rPr>
          <w:color w:val="auto"/>
        </w:rPr>
      </w:pPr>
      <w:r>
        <w:rPr>
          <w:color w:val="auto"/>
        </w:rPr>
        <w:t xml:space="preserve">Општинска управа општине </w:t>
      </w:r>
      <w:r>
        <w:rPr>
          <w:color w:val="auto"/>
          <w:lang w:val="sr-Cyrl-RS"/>
        </w:rPr>
        <w:t>Србобран</w:t>
      </w:r>
      <w:r>
        <w:rPr>
          <w:color w:val="auto"/>
        </w:rPr>
        <w:t xml:space="preserve"> објавила је нацрт </w:t>
      </w:r>
      <w:r>
        <w:rPr>
          <w:color w:val="auto"/>
          <w:lang w:val="sr-Cyrl-RS"/>
        </w:rPr>
        <w:t xml:space="preserve">Измена и допуна </w:t>
      </w:r>
      <w:r>
        <w:rPr>
          <w:color w:val="auto"/>
        </w:rPr>
        <w:t xml:space="preserve">Средњорочног програма на званичној интернет страници општине </w:t>
      </w:r>
      <w:r>
        <w:rPr>
          <w:color w:val="auto"/>
          <w:lang w:val="sr-Cyrl-RS"/>
        </w:rPr>
        <w:t>Србобран</w:t>
      </w:r>
      <w:r>
        <w:rPr>
          <w:color w:val="auto"/>
        </w:rPr>
        <w:t xml:space="preserve"> дана </w:t>
      </w:r>
      <w:r>
        <w:rPr>
          <w:color w:val="auto"/>
          <w:lang w:val="en-GB"/>
        </w:rPr>
        <w:t>30.03.</w:t>
      </w:r>
      <w:r>
        <w:rPr>
          <w:color w:val="auto"/>
        </w:rPr>
        <w:t>20</w:t>
      </w:r>
      <w:r>
        <w:rPr>
          <w:color w:val="auto"/>
          <w:lang w:val="sr-Cyrl-RS"/>
        </w:rPr>
        <w:t>2</w:t>
      </w:r>
      <w:r>
        <w:rPr>
          <w:color w:val="auto"/>
          <w:lang w:val="en-GB"/>
        </w:rPr>
        <w:t>1</w:t>
      </w:r>
      <w:r>
        <w:rPr>
          <w:color w:val="auto"/>
        </w:rPr>
        <w:t>. године, са позивом свим заинтересованим лицима да доставе своје примедбе и сугестије у року од 10 дана од дана објављивања нацрта.</w:t>
      </w:r>
    </w:p>
    <w:p>
      <w:pPr>
        <w:rPr>
          <w:color w:val="auto"/>
        </w:rPr>
      </w:pPr>
      <w:r>
        <w:rPr>
          <w:color w:val="auto"/>
        </w:rPr>
        <w:t xml:space="preserve">Након истека рока од 10 дана од дана објављивања на званичној интернет страници општине </w:t>
      </w:r>
      <w:r>
        <w:rPr>
          <w:color w:val="auto"/>
          <w:lang w:val="sr-Cyrl-RS"/>
        </w:rPr>
        <w:t>Србобран</w:t>
      </w:r>
      <w:r>
        <w:rPr>
          <w:color w:val="auto"/>
        </w:rPr>
        <w:t xml:space="preserve">  Одељење за </w:t>
      </w:r>
      <w:r>
        <w:rPr>
          <w:color w:val="auto"/>
          <w:lang w:val="sr-Cyrl-RS"/>
        </w:rPr>
        <w:t>урбанизам, стамбено-комуналне послове и заштиту животне средине</w:t>
      </w:r>
      <w:r>
        <w:rPr>
          <w:color w:val="auto"/>
        </w:rPr>
        <w:t xml:space="preserve"> је припремило предлог </w:t>
      </w:r>
      <w:r>
        <w:rPr>
          <w:color w:val="auto"/>
          <w:lang w:val="sr-Cyrl-RS"/>
        </w:rPr>
        <w:t xml:space="preserve">Измена и допуна </w:t>
      </w:r>
      <w:r>
        <w:rPr>
          <w:color w:val="auto"/>
        </w:rPr>
        <w:t xml:space="preserve">Средњорочног програма и исти је доставило Општинском већу општине </w:t>
      </w:r>
      <w:r>
        <w:rPr>
          <w:color w:val="auto"/>
          <w:lang w:val="sr-Cyrl-RS"/>
        </w:rPr>
        <w:t>Србобран</w:t>
      </w:r>
      <w:r>
        <w:rPr>
          <w:color w:val="auto"/>
        </w:rPr>
        <w:t xml:space="preserve">, као овлашћеном предлагачу за седницу Скупштине општине </w:t>
      </w:r>
      <w:r>
        <w:rPr>
          <w:color w:val="auto"/>
          <w:lang w:val="sr-Cyrl-RS"/>
        </w:rPr>
        <w:t>Србобран</w:t>
      </w:r>
      <w:r>
        <w:rPr>
          <w:color w:val="auto"/>
        </w:rPr>
        <w:t xml:space="preserve">. </w:t>
      </w:r>
    </w:p>
    <w:p>
      <w:pPr>
        <w:rPr>
          <w:color w:val="auto"/>
          <w:lang w:val="sr-Cyrl-RS"/>
        </w:rPr>
      </w:pPr>
      <w:bookmarkStart w:id="0" w:name="_Toc530496805"/>
      <w:r>
        <w:rPr>
          <w:color w:val="FF0000"/>
          <w:lang w:val="sr-Cyrl-RS"/>
        </w:rPr>
        <w:t>У</w:t>
      </w:r>
      <w:r>
        <w:rPr>
          <w:color w:val="auto"/>
          <w:lang w:val="sr-Cyrl-RS"/>
        </w:rPr>
        <w:t xml:space="preserve"> Средњорочном </w:t>
      </w:r>
      <w:r>
        <w:rPr>
          <w:color w:val="auto"/>
        </w:rPr>
        <w:t>програм</w:t>
      </w:r>
      <w:r>
        <w:rPr>
          <w:color w:val="auto"/>
          <w:lang w:val="sr-Cyrl-RS"/>
        </w:rPr>
        <w:t>у</w:t>
      </w:r>
      <w:r>
        <w:rPr>
          <w:color w:val="auto"/>
        </w:rPr>
        <w:t xml:space="preserve"> уређивања грађевинског земљишта Општине </w:t>
      </w:r>
      <w:r>
        <w:rPr>
          <w:color w:val="auto"/>
          <w:lang w:val="sr-Cyrl-RS"/>
        </w:rPr>
        <w:t>Србобран</w:t>
      </w:r>
      <w:r>
        <w:rPr>
          <w:color w:val="auto"/>
        </w:rPr>
        <w:t xml:space="preserve"> за период од 20</w:t>
      </w:r>
      <w:r>
        <w:rPr>
          <w:color w:val="auto"/>
          <w:lang w:val="sr-Cyrl-RS"/>
        </w:rPr>
        <w:t>20.</w:t>
      </w:r>
      <w:r>
        <w:rPr>
          <w:color w:val="auto"/>
        </w:rPr>
        <w:t xml:space="preserve"> до 202</w:t>
      </w:r>
      <w:r>
        <w:rPr>
          <w:color w:val="auto"/>
          <w:lang w:val="sr-Cyrl-RS"/>
        </w:rPr>
        <w:t>3.</w:t>
      </w:r>
      <w:r>
        <w:rPr>
          <w:color w:val="auto"/>
        </w:rPr>
        <w:t xml:space="preserve"> године </w:t>
      </w:r>
      <w:r>
        <w:rPr>
          <w:color w:val="auto"/>
          <w:lang w:val="sr-Cyrl-RS"/>
        </w:rPr>
        <w:t>мења се табела у тачки 3.2.1. Систем водоснабдевања тако да сада гласи :</w:t>
      </w:r>
    </w:p>
    <w:p>
      <w:pPr>
        <w:ind w:firstLine="0"/>
        <w:rPr>
          <w:sz w:val="16"/>
          <w:szCs w:val="16"/>
          <w:lang w:val="sr-Cyrl-RS"/>
        </w:rPr>
      </w:pPr>
      <w:r>
        <w:rPr>
          <w:lang w:val="sr-Cyrl-RS"/>
        </w:rPr>
        <w:t>„</w:t>
      </w:r>
    </w:p>
    <w:tbl>
      <w:tblPr>
        <w:tblStyle w:val="11"/>
        <w:tblW w:w="9087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5"/>
        <w:gridCol w:w="184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outlineLvl w:val="0"/>
              <w:rPr>
                <w:rFonts w:eastAsia="Times New Roman" w:cs="Arial"/>
                <w:b/>
                <w:bCs/>
                <w:color w:val="0070C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center"/>
              <w:outlineLvl w:val="0"/>
              <w:rPr>
                <w:rFonts w:eastAsia="Times New Roman" w:cs="Arial"/>
                <w:color w:val="000000"/>
                <w:sz w:val="18"/>
                <w:szCs w:val="18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</w:rPr>
              <w:t xml:space="preserve">процена вредности инвестиције </w:t>
            </w:r>
            <w:r>
              <w:rPr>
                <w:rFonts w:eastAsia="Times New Roman" w:cs="Arial"/>
                <w:color w:val="000000"/>
                <w:sz w:val="18"/>
                <w:szCs w:val="18"/>
                <w:lang w:val="sr-Cyrl-RS"/>
              </w:rPr>
              <w:t xml:space="preserve">без ПДВ-а </w:t>
            </w:r>
            <w:r>
              <w:rPr>
                <w:rFonts w:eastAsia="Times New Roman" w:cs="Arial"/>
                <w:color w:val="000000"/>
                <w:sz w:val="18"/>
                <w:szCs w:val="18"/>
              </w:rPr>
              <w:t>(РСД)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Израда пројектно-техничке документације за реконструкцију водоводне мреже у насељу Турија</w:t>
            </w:r>
          </w:p>
        </w:tc>
        <w:tc>
          <w:tcPr>
            <w:tcW w:w="18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1.250.000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Израда пројектно-техничке документације за реконструкцију водоводне мреже у насељу Србобран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1.250.000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Израда пројектно-техничке документације за изградњу водовода до пречистача у Србобрану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500.000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Анализа –студија стања водоводне мреже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416</w:t>
            </w:r>
            <w:r>
              <w:rPr>
                <w:rFonts w:eastAsia="Times New Roman" w:cs="Arial"/>
                <w:sz w:val="18"/>
                <w:szCs w:val="18"/>
              </w:rPr>
              <w:t>.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>667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Израда пројектно-техничке документације за реконструкцију водоводне мреже у насељу Србобран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416</w:t>
            </w:r>
            <w:r>
              <w:rPr>
                <w:rFonts w:eastAsia="Times New Roman" w:cs="Arial"/>
                <w:sz w:val="18"/>
                <w:szCs w:val="18"/>
              </w:rPr>
              <w:t>.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>667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Израда пројеката фабрике воде у Србобрану и Турији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2.400.000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Изградња фабрике воде у Србобрану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114.166.667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color w:val="auto"/>
                <w:sz w:val="18"/>
                <w:szCs w:val="18"/>
              </w:rPr>
            </w:pPr>
            <w:r>
              <w:rPr>
                <w:rFonts w:eastAsia="Times New Roman" w:cs="Arial"/>
                <w:color w:val="auto"/>
                <w:sz w:val="18"/>
                <w:szCs w:val="18"/>
              </w:rPr>
              <w:t>Изградња фабрике воде у Турији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  <w:t>57</w:t>
            </w:r>
            <w:r>
              <w:rPr>
                <w:rFonts w:eastAsia="Times New Roman" w:cs="Arial"/>
                <w:color w:val="auto"/>
                <w:sz w:val="18"/>
                <w:szCs w:val="18"/>
              </w:rPr>
              <w:t>.</w:t>
            </w:r>
            <w:r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  <w:t>916</w:t>
            </w:r>
            <w:r>
              <w:rPr>
                <w:rFonts w:eastAsia="Times New Roman" w:cs="Arial"/>
                <w:color w:val="auto"/>
                <w:sz w:val="18"/>
                <w:szCs w:val="18"/>
              </w:rPr>
              <w:t>.</w:t>
            </w:r>
            <w:r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  <w:t>667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Изградња водовода до пречистача у Србобрану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6.666.667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Реконструкција водоводне мреже у насељу Србобран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50.000.000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Реконструкција водоводне мреже у насељу Турија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50.000.000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val="sr-Latn-RS"/>
              </w:rPr>
              <w:t>Бушење, повезивање и опремање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 xml:space="preserve"> бунара за водоснабдевање на изворишту  Поповача Венац у </w:t>
            </w:r>
            <w:r>
              <w:rPr>
                <w:rFonts w:eastAsia="Times New Roman" w:cs="Arial"/>
                <w:sz w:val="18"/>
                <w:szCs w:val="18"/>
              </w:rPr>
              <w:t>Србобрану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10.602.500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 xml:space="preserve">Опремање 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>и повезивање два избушена бунара са црпном станицом у Србобрану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3.750.000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45" w:type="dxa"/>
            <w:tcBorders>
              <w:top w:val="single" w:color="BFBFBF" w:sz="4" w:space="0"/>
              <w:left w:val="single" w:color="BFBFBF" w:sz="4" w:space="0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Радна зона према Турији - изградња водоводне мреже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Пројектно техничка документација</w:t>
            </w:r>
          </w:p>
        </w:tc>
        <w:tc>
          <w:tcPr>
            <w:tcW w:w="18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42</w:t>
            </w:r>
            <w:r>
              <w:rPr>
                <w:rFonts w:eastAsia="Times New Roman" w:cs="Arial"/>
                <w:sz w:val="18"/>
                <w:szCs w:val="18"/>
              </w:rPr>
              <w:t>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Извођење радова</w:t>
            </w:r>
          </w:p>
        </w:tc>
        <w:tc>
          <w:tcPr>
            <w:tcW w:w="18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8.000.000</w:t>
            </w:r>
          </w:p>
        </w:tc>
      </w:tr>
    </w:tbl>
    <w:p>
      <w:pPr>
        <w:ind w:firstLine="0"/>
        <w:rPr>
          <w:lang w:val="sr-Cyrl-RS"/>
        </w:rPr>
      </w:pPr>
    </w:p>
    <w:tbl>
      <w:tblPr>
        <w:tblStyle w:val="11"/>
        <w:tblW w:w="9087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5"/>
        <w:gridCol w:w="184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color w:val="366092"/>
                <w:sz w:val="18"/>
                <w:szCs w:val="18"/>
              </w:rPr>
            </w:pPr>
            <w:r>
              <w:rPr>
                <w:rFonts w:eastAsia="Times New Roman" w:cs="Arial"/>
                <w:color w:val="366092"/>
                <w:sz w:val="18"/>
                <w:szCs w:val="18"/>
              </w:rPr>
              <w:t>Укупно водоводна инфраструктура: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b/>
                <w:bCs/>
                <w:color w:val="auto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b/>
                <w:bCs/>
                <w:color w:val="auto"/>
                <w:sz w:val="18"/>
                <w:szCs w:val="18"/>
                <w:lang w:val="sr-Cyrl-RS"/>
              </w:rPr>
              <w:t>307</w:t>
            </w:r>
            <w:r>
              <w:rPr>
                <w:rFonts w:eastAsia="Times New Roman" w:cs="Arial"/>
                <w:b/>
                <w:bCs/>
                <w:color w:val="auto"/>
                <w:sz w:val="18"/>
                <w:szCs w:val="18"/>
              </w:rPr>
              <w:t>.</w:t>
            </w:r>
            <w:r>
              <w:rPr>
                <w:rFonts w:eastAsia="Times New Roman" w:cs="Arial"/>
                <w:b/>
                <w:bCs/>
                <w:color w:val="auto"/>
                <w:sz w:val="18"/>
                <w:szCs w:val="18"/>
                <w:lang w:val="sr-Cyrl-RS"/>
              </w:rPr>
              <w:t>755</w:t>
            </w:r>
            <w:r>
              <w:rPr>
                <w:rFonts w:eastAsia="Times New Roman" w:cs="Arial"/>
                <w:b/>
                <w:bCs/>
                <w:color w:val="auto"/>
                <w:sz w:val="18"/>
                <w:szCs w:val="18"/>
              </w:rPr>
              <w:t>.</w:t>
            </w:r>
            <w:r>
              <w:rPr>
                <w:rFonts w:eastAsia="Times New Roman" w:cs="Arial"/>
                <w:b/>
                <w:bCs/>
                <w:color w:val="auto"/>
                <w:sz w:val="18"/>
                <w:szCs w:val="18"/>
                <w:lang w:val="sr-Cyrl-RS"/>
              </w:rPr>
              <w:t>835</w:t>
            </w:r>
          </w:p>
        </w:tc>
      </w:tr>
    </w:tbl>
    <w:p>
      <w:pPr>
        <w:ind w:firstLine="0"/>
        <w:rPr>
          <w:lang w:val="sr-Cyrl-RS"/>
        </w:rPr>
      </w:pPr>
      <w:r>
        <w:rPr>
          <w:lang w:val="sr-Cyrl-RS"/>
        </w:rPr>
        <w:t xml:space="preserve">   </w:t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 xml:space="preserve"> “</w:t>
      </w:r>
    </w:p>
    <w:p>
      <w:pPr/>
      <w:r>
        <w:rPr>
          <w:lang w:val="sr-Cyrl-RS"/>
        </w:rPr>
        <w:t xml:space="preserve">У Средњорочном </w:t>
      </w:r>
      <w:r>
        <w:t>програм</w:t>
      </w:r>
      <w:r>
        <w:rPr>
          <w:lang w:val="sr-Cyrl-RS"/>
        </w:rPr>
        <w:t>у</w:t>
      </w:r>
      <w:r>
        <w:t xml:space="preserve"> уређивања грађевинског земљишта Општине </w:t>
      </w:r>
      <w:r>
        <w:rPr>
          <w:lang w:val="sr-Cyrl-RS"/>
        </w:rPr>
        <w:t>Србобран</w:t>
      </w:r>
      <w:r>
        <w:t xml:space="preserve"> за период од 20</w:t>
      </w:r>
      <w:r>
        <w:rPr>
          <w:lang w:val="sr-Cyrl-RS"/>
        </w:rPr>
        <w:t>20.</w:t>
      </w:r>
      <w:r>
        <w:t xml:space="preserve"> до 202</w:t>
      </w:r>
      <w:r>
        <w:rPr>
          <w:lang w:val="sr-Cyrl-RS"/>
        </w:rPr>
        <w:t>3.</w:t>
      </w:r>
      <w:r>
        <w:t xml:space="preserve"> године </w:t>
      </w:r>
      <w:r>
        <w:rPr>
          <w:lang w:val="sr-Cyrl-RS"/>
        </w:rPr>
        <w:t>мења се табела у тачки 3.2.2.</w:t>
      </w:r>
      <w:r>
        <w:rPr>
          <w:lang w:val="sr-Latn-RS"/>
        </w:rPr>
        <w:t>1 Атмосферска канализација</w:t>
      </w:r>
      <w:r>
        <w:rPr>
          <w:lang w:val="sr-Cyrl-RS"/>
        </w:rPr>
        <w:t xml:space="preserve"> на територији општине Србобран тако да сада гласи :</w:t>
      </w:r>
    </w:p>
    <w:tbl>
      <w:tblPr>
        <w:tblStyle w:val="11"/>
        <w:tblW w:w="8946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20"/>
        <w:gridCol w:w="192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color w:val="000000"/>
                <w:sz w:val="18"/>
                <w:szCs w:val="18"/>
              </w:rPr>
            </w:pPr>
            <w:r>
              <w:rPr>
                <w:lang w:val="sr-Cyrl-RS"/>
              </w:rPr>
              <w:t>„</w:t>
            </w:r>
          </w:p>
        </w:tc>
        <w:tc>
          <w:tcPr>
            <w:tcW w:w="19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>
            <w:pPr>
              <w:spacing w:after="0"/>
              <w:ind w:firstLine="0"/>
              <w:jc w:val="center"/>
              <w:rPr>
                <w:rFonts w:eastAsia="Times New Roman" w:cs="Arial"/>
                <w:color w:val="000000"/>
                <w:sz w:val="18"/>
                <w:szCs w:val="18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</w:rPr>
              <w:t xml:space="preserve">процена вредности инвестиције </w:t>
            </w:r>
            <w:r>
              <w:rPr>
                <w:rFonts w:eastAsia="Times New Roman" w:cs="Arial"/>
                <w:color w:val="000000"/>
                <w:sz w:val="18"/>
                <w:szCs w:val="18"/>
                <w:lang w:val="sr-Cyrl-RS"/>
              </w:rPr>
              <w:t xml:space="preserve">без ПДВ-а </w:t>
            </w:r>
            <w:r>
              <w:rPr>
                <w:rFonts w:eastAsia="Times New Roman" w:cs="Arial"/>
                <w:color w:val="000000"/>
                <w:sz w:val="18"/>
                <w:szCs w:val="18"/>
              </w:rPr>
              <w:t>(РСД)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</w:rPr>
              <w:t>Израда пројектно-техничке документације реконструкције и доградње канализације атмосферских вода за де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>лове</w:t>
            </w:r>
            <w:r>
              <w:rPr>
                <w:rFonts w:eastAsia="Times New Roman" w:cs="Arial"/>
                <w:sz w:val="18"/>
                <w:szCs w:val="18"/>
              </w:rPr>
              <w:t xml:space="preserve"> насеља Србобран- „Беглук“ 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>, „Вашариште“ и „ Унчић“</w:t>
            </w:r>
          </w:p>
        </w:tc>
        <w:tc>
          <w:tcPr>
            <w:tcW w:w="19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3</w:t>
            </w:r>
            <w:r>
              <w:rPr>
                <w:rFonts w:eastAsia="Times New Roman" w:cs="Arial"/>
                <w:sz w:val="18"/>
                <w:szCs w:val="18"/>
              </w:rPr>
              <w:t>.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>5</w:t>
            </w:r>
            <w:r>
              <w:rPr>
                <w:rFonts w:eastAsia="Times New Roman" w:cs="Arial"/>
                <w:sz w:val="18"/>
                <w:szCs w:val="18"/>
              </w:rPr>
              <w:t>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 xml:space="preserve">Израда пројектно-техничке документације за атмосферску канализацију у делу улице С.Маринковић, делу улице В.Караџић и делу улице М.Обилића у Србобрану </w:t>
            </w:r>
          </w:p>
        </w:tc>
        <w:tc>
          <w:tcPr>
            <w:tcW w:w="19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208.334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</w:rPr>
              <w:t>Израда пројектно-техничке документације реконструкције и доградње канализације атмосферских вода за део насеља Србобран</w:t>
            </w:r>
          </w:p>
        </w:tc>
        <w:tc>
          <w:tcPr>
            <w:tcW w:w="19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2.000.000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</w:rPr>
              <w:t xml:space="preserve">Израда пројектно-техничке документације реконструкције и доградње канализације атмосферских вода за део насеља 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>Турија</w:t>
            </w:r>
          </w:p>
        </w:tc>
        <w:tc>
          <w:tcPr>
            <w:tcW w:w="19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1.000.000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</w:rPr>
              <w:t xml:space="preserve">Израда пројектно-техничке документације реконструкције и доградње канализације атмосферских вода за део насеља 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>Надаљ</w:t>
            </w:r>
          </w:p>
        </w:tc>
        <w:tc>
          <w:tcPr>
            <w:tcW w:w="19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1.000.000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0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Р</w:t>
            </w:r>
            <w:r>
              <w:rPr>
                <w:rFonts w:eastAsia="Times New Roman" w:cs="Arial"/>
                <w:sz w:val="18"/>
                <w:szCs w:val="18"/>
              </w:rPr>
              <w:t>еконструкциј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>а</w:t>
            </w:r>
            <w:r>
              <w:rPr>
                <w:rFonts w:eastAsia="Times New Roman" w:cs="Arial"/>
                <w:sz w:val="18"/>
                <w:szCs w:val="18"/>
              </w:rPr>
              <w:t xml:space="preserve"> и доградњ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>а</w:t>
            </w:r>
            <w:r>
              <w:rPr>
                <w:rFonts w:eastAsia="Times New Roman" w:cs="Arial"/>
                <w:sz w:val="18"/>
                <w:szCs w:val="18"/>
              </w:rPr>
              <w:t xml:space="preserve"> канализације атмосферских вода за део насеља Србобран</w:t>
            </w:r>
          </w:p>
        </w:tc>
        <w:tc>
          <w:tcPr>
            <w:tcW w:w="1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20.000.000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0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Реконструкција атмосферске канализације у делу улице Светог Саве у Србобрану</w:t>
            </w:r>
          </w:p>
        </w:tc>
        <w:tc>
          <w:tcPr>
            <w:tcW w:w="1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1.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>637</w:t>
            </w:r>
            <w:r>
              <w:rPr>
                <w:rFonts w:eastAsia="Times New Roman" w:cs="Arial"/>
                <w:sz w:val="18"/>
                <w:szCs w:val="18"/>
              </w:rPr>
              <w:t>.9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>1</w:t>
            </w:r>
            <w:r>
              <w:rPr>
                <w:rFonts w:eastAsia="Times New Roman" w:cs="Arial"/>
                <w:sz w:val="18"/>
                <w:szCs w:val="18"/>
              </w:rPr>
              <w:t>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0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color w:val="auto"/>
                <w:sz w:val="18"/>
                <w:szCs w:val="18"/>
              </w:rPr>
            </w:pPr>
            <w:r>
              <w:rPr>
                <w:rFonts w:eastAsia="Times New Roman" w:cs="Arial"/>
                <w:color w:val="auto"/>
                <w:sz w:val="18"/>
                <w:szCs w:val="18"/>
              </w:rPr>
              <w:t>Изградња акумулације на Криваји у К.О. Србобран</w:t>
            </w:r>
          </w:p>
        </w:tc>
        <w:tc>
          <w:tcPr>
            <w:tcW w:w="1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  <w:t>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color w:val="auto"/>
                <w:sz w:val="18"/>
                <w:szCs w:val="18"/>
              </w:rPr>
            </w:pPr>
            <w:r>
              <w:rPr>
                <w:rFonts w:eastAsia="Times New Roman" w:cs="Arial"/>
                <w:color w:val="auto"/>
                <w:sz w:val="18"/>
                <w:szCs w:val="18"/>
              </w:rPr>
              <w:t>Укупно атмосферска канализација:</w:t>
            </w:r>
          </w:p>
        </w:tc>
        <w:tc>
          <w:tcPr>
            <w:tcW w:w="1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eastAsia="Times New Roman" w:cs="Arial"/>
                <w:b/>
                <w:bCs/>
                <w:color w:val="auto"/>
                <w:sz w:val="18"/>
                <w:szCs w:val="18"/>
                <w:lang w:val="sr-Cyrl-RS"/>
              </w:rPr>
              <w:t>29.346</w:t>
            </w:r>
            <w:r>
              <w:rPr>
                <w:rFonts w:eastAsia="Times New Roman" w:cs="Arial"/>
                <w:b/>
                <w:bCs/>
                <w:color w:val="auto"/>
                <w:sz w:val="18"/>
                <w:szCs w:val="18"/>
              </w:rPr>
              <w:t>.</w:t>
            </w:r>
            <w:r>
              <w:rPr>
                <w:rFonts w:eastAsia="Times New Roman" w:cs="Arial"/>
                <w:b/>
                <w:bCs/>
                <w:color w:val="auto"/>
                <w:sz w:val="18"/>
                <w:szCs w:val="18"/>
                <w:lang w:val="sr-Cyrl-RS"/>
              </w:rPr>
              <w:t>244</w:t>
            </w:r>
          </w:p>
        </w:tc>
      </w:tr>
    </w:tbl>
    <w:p>
      <w:pPr>
        <w:ind w:firstLine="0"/>
        <w:rPr>
          <w:lang w:val="sr-Cyrl-RS"/>
        </w:rPr>
      </w:pPr>
      <w:r>
        <w:rPr>
          <w:lang w:val="sr-Cyrl-RS"/>
        </w:rPr>
        <w:t xml:space="preserve">   </w:t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 xml:space="preserve"> “</w:t>
      </w:r>
    </w:p>
    <w:p>
      <w:pPr/>
      <w:r>
        <w:rPr>
          <w:lang w:val="sr-Cyrl-RS"/>
        </w:rPr>
        <w:t xml:space="preserve">У Средњорочном </w:t>
      </w:r>
      <w:r>
        <w:t>програм</w:t>
      </w:r>
      <w:r>
        <w:rPr>
          <w:lang w:val="sr-Cyrl-RS"/>
        </w:rPr>
        <w:t>у</w:t>
      </w:r>
      <w:r>
        <w:t xml:space="preserve"> уређивања грађевинског земљишта Општине </w:t>
      </w:r>
      <w:r>
        <w:rPr>
          <w:lang w:val="sr-Cyrl-RS"/>
        </w:rPr>
        <w:t>Србобран</w:t>
      </w:r>
      <w:r>
        <w:t xml:space="preserve"> за период од 20</w:t>
      </w:r>
      <w:r>
        <w:rPr>
          <w:lang w:val="sr-Cyrl-RS"/>
        </w:rPr>
        <w:t>20.</w:t>
      </w:r>
      <w:r>
        <w:t xml:space="preserve"> до 202</w:t>
      </w:r>
      <w:r>
        <w:rPr>
          <w:lang w:val="sr-Cyrl-RS"/>
        </w:rPr>
        <w:t>3.</w:t>
      </w:r>
      <w:r>
        <w:t xml:space="preserve"> године </w:t>
      </w:r>
      <w:r>
        <w:rPr>
          <w:lang w:val="sr-Cyrl-RS"/>
        </w:rPr>
        <w:t>мења се табела у тачки 3.2.3. Канализација отпадних вода тако да сада гласи :</w:t>
      </w:r>
    </w:p>
    <w:tbl>
      <w:tblPr>
        <w:tblStyle w:val="11"/>
        <w:tblW w:w="8925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5"/>
        <w:gridCol w:w="189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color w:val="000000"/>
                <w:sz w:val="18"/>
                <w:szCs w:val="18"/>
              </w:rPr>
            </w:pPr>
            <w:r>
              <w:rPr>
                <w:lang w:val="sr-Cyrl-RS"/>
              </w:rPr>
              <w:t>„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center"/>
              <w:rPr>
                <w:rFonts w:eastAsia="Times New Roman" w:cs="Arial"/>
                <w:color w:val="000000"/>
                <w:sz w:val="18"/>
                <w:szCs w:val="18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</w:rPr>
              <w:t xml:space="preserve">процена вредности инвестиције </w:t>
            </w:r>
            <w:r>
              <w:rPr>
                <w:rFonts w:eastAsia="Times New Roman" w:cs="Arial"/>
                <w:color w:val="000000"/>
                <w:sz w:val="18"/>
                <w:szCs w:val="18"/>
                <w:lang w:val="sr-Cyrl-RS"/>
              </w:rPr>
              <w:t xml:space="preserve">без ПДВ-а </w:t>
            </w:r>
            <w:r>
              <w:rPr>
                <w:rFonts w:eastAsia="Times New Roman" w:cs="Arial"/>
                <w:color w:val="000000"/>
                <w:sz w:val="18"/>
                <w:szCs w:val="18"/>
              </w:rPr>
              <w:t>(РСД)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 xml:space="preserve">Израда ревизије и допуне пројекта постројења за пречишавање отпадних вода Србобран </w:t>
            </w: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485.000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Анализа-студија стања канализационе мреже</w:t>
            </w: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416.667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color w:val="auto"/>
                <w:sz w:val="18"/>
                <w:szCs w:val="18"/>
              </w:rPr>
              <w:t xml:space="preserve">Израда </w:t>
            </w:r>
            <w:r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  <w:t>ПЗИ канализационе мреже насеља Србобран</w:t>
            </w: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  <w:t>350.000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Изградња пречистача отпадних вода у насељеном месту Србобран</w:t>
            </w: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275.225.000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0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Изграда главног колектора са црпном станицом (деоница 1, деоница 2 и ЦС-10) за потребе пречистача</w:t>
            </w:r>
          </w:p>
        </w:tc>
        <w:tc>
          <w:tcPr>
            <w:tcW w:w="18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48.750.000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0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 xml:space="preserve">Изградња канализационе мреже у Србобрану </w:t>
            </w:r>
          </w:p>
        </w:tc>
        <w:tc>
          <w:tcPr>
            <w:tcW w:w="18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1</w:t>
            </w:r>
            <w:r>
              <w:rPr>
                <w:rFonts w:eastAsia="Times New Roman" w:cs="Arial"/>
                <w:sz w:val="18"/>
                <w:szCs w:val="18"/>
              </w:rPr>
              <w:t>00.000.000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5" w:type="dxa"/>
            <w:tcBorders>
              <w:top w:val="single" w:color="BFBFBF" w:sz="4" w:space="0"/>
              <w:left w:val="single" w:color="BFBFBF" w:sz="4" w:space="0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Радна зона према Турији - изградња канализационе мреже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 xml:space="preserve">Пројектно-техничка документација </w:t>
            </w: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1.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>05</w:t>
            </w:r>
            <w:r>
              <w:rPr>
                <w:rFonts w:eastAsia="Times New Roman" w:cs="Arial"/>
                <w:sz w:val="18"/>
                <w:szCs w:val="18"/>
              </w:rPr>
              <w:t>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Извођење радова</w:t>
            </w: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20.000.000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color w:val="auto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color w:val="auto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bCs/>
                <w:color w:val="auto"/>
                <w:sz w:val="18"/>
                <w:szCs w:val="18"/>
              </w:rPr>
            </w:pPr>
            <w:r>
              <w:rPr>
                <w:rFonts w:eastAsia="Times New Roman" w:cs="Arial"/>
                <w:bCs/>
                <w:color w:val="auto"/>
                <w:sz w:val="18"/>
                <w:szCs w:val="18"/>
              </w:rPr>
              <w:t>Укупно канализација отпадних вода: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b/>
                <w:bCs/>
                <w:color w:val="auto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b/>
                <w:bCs/>
                <w:color w:val="auto"/>
                <w:sz w:val="18"/>
                <w:szCs w:val="18"/>
                <w:lang w:val="sr-Cyrl-RS"/>
              </w:rPr>
              <w:t>446.276.667</w:t>
            </w:r>
          </w:p>
        </w:tc>
      </w:tr>
    </w:tbl>
    <w:p>
      <w:pPr>
        <w:ind w:firstLine="0"/>
        <w:rPr>
          <w:lang w:val="sr-Cyrl-RS"/>
        </w:rPr>
      </w:pPr>
      <w:r>
        <w:rPr>
          <w:lang w:val="sr-Cyrl-RS"/>
        </w:rPr>
        <w:t xml:space="preserve">   </w:t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 xml:space="preserve"> “</w:t>
      </w:r>
    </w:p>
    <w:p>
      <w:pPr>
        <w:ind w:firstLine="420"/>
        <w:rPr>
          <w:lang w:val="sr-Cyrl-RS"/>
        </w:rPr>
      </w:pPr>
      <w:r>
        <w:rPr>
          <w:lang w:val="sr-Cyrl-RS"/>
        </w:rPr>
        <w:t xml:space="preserve">У Средњорочном </w:t>
      </w:r>
      <w:r>
        <w:t>програм</w:t>
      </w:r>
      <w:r>
        <w:rPr>
          <w:lang w:val="sr-Cyrl-RS"/>
        </w:rPr>
        <w:t>у</w:t>
      </w:r>
      <w:r>
        <w:t xml:space="preserve"> уређивања грађевинског земљишта Општине </w:t>
      </w:r>
      <w:r>
        <w:rPr>
          <w:lang w:val="sr-Cyrl-RS"/>
        </w:rPr>
        <w:t>Србобран</w:t>
      </w:r>
      <w:r>
        <w:t xml:space="preserve"> за период од 20</w:t>
      </w:r>
      <w:r>
        <w:rPr>
          <w:lang w:val="sr-Cyrl-RS"/>
        </w:rPr>
        <w:t>20.</w:t>
      </w:r>
      <w:r>
        <w:t xml:space="preserve"> до 202</w:t>
      </w:r>
      <w:r>
        <w:rPr>
          <w:lang w:val="sr-Cyrl-RS"/>
        </w:rPr>
        <w:t>3.</w:t>
      </w:r>
      <w:r>
        <w:t xml:space="preserve"> године </w:t>
      </w:r>
      <w:r>
        <w:rPr>
          <w:lang w:val="sr-Cyrl-RS"/>
        </w:rPr>
        <w:t>мења се табела у тачки 3.2.3. Електро – енергетска мрежа тако да сада гласи :</w:t>
      </w:r>
    </w:p>
    <w:tbl>
      <w:tblPr>
        <w:tblStyle w:val="11"/>
        <w:tblW w:w="9105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95"/>
        <w:gridCol w:w="171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395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color w:val="7030A0"/>
                <w:sz w:val="18"/>
                <w:szCs w:val="18"/>
              </w:rPr>
            </w:pPr>
            <w:r>
              <w:rPr>
                <w:lang w:val="sr-Cyrl-RS"/>
              </w:rPr>
              <w:t>„</w:t>
            </w:r>
          </w:p>
        </w:tc>
        <w:tc>
          <w:tcPr>
            <w:tcW w:w="171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center"/>
              <w:rPr>
                <w:rFonts w:eastAsia="Times New Roman" w:cs="Arial"/>
                <w:color w:val="7030A0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процена вредности инвестиције без ПДВ—а (РСД)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739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color w:val="auto"/>
                <w:sz w:val="18"/>
                <w:szCs w:val="18"/>
              </w:rPr>
            </w:pPr>
            <w:r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  <w:t>Трафо станица за потребе пречистача отпадних вода у Србобрану</w:t>
            </w:r>
          </w:p>
        </w:tc>
        <w:tc>
          <w:tcPr>
            <w:tcW w:w="17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color w:val="auto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7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color w:val="auto"/>
                <w:sz w:val="18"/>
                <w:szCs w:val="18"/>
              </w:rPr>
            </w:pPr>
            <w:r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  <w:t>Пројектно – техничка документација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  <w:t>166</w:t>
            </w:r>
            <w:r>
              <w:rPr>
                <w:rFonts w:eastAsia="Times New Roman" w:cs="Arial"/>
                <w:color w:val="auto"/>
                <w:sz w:val="18"/>
                <w:szCs w:val="18"/>
              </w:rPr>
              <w:t>.</w:t>
            </w:r>
            <w:r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  <w:t>667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395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СТС за објекат постројења за пречишћавање воде у Турији</w:t>
            </w:r>
          </w:p>
        </w:tc>
        <w:tc>
          <w:tcPr>
            <w:tcW w:w="171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 xml:space="preserve">Извођење радова  </w:t>
            </w:r>
          </w:p>
        </w:tc>
        <w:tc>
          <w:tcPr>
            <w:tcW w:w="1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1.027.500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395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МБТС са прикључком за пијацу у Србобрану</w:t>
            </w:r>
          </w:p>
        </w:tc>
        <w:tc>
          <w:tcPr>
            <w:tcW w:w="171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Извођење радова</w:t>
            </w:r>
          </w:p>
        </w:tc>
        <w:tc>
          <w:tcPr>
            <w:tcW w:w="1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698.334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95" w:type="dxa"/>
            <w:tcBorders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ascii="Calibri" w:hAnsi="Calibri" w:eastAsia="Times New Roman" w:cs="Arial"/>
                <w:sz w:val="18"/>
                <w:szCs w:val="18"/>
              </w:rPr>
            </w:pPr>
            <w:r>
              <w:rPr>
                <w:rFonts w:ascii="Calibri" w:hAnsi="Calibri" w:eastAsia="Times New Roman" w:cs="Arial"/>
                <w:sz w:val="18"/>
                <w:szCs w:val="18"/>
              </w:rPr>
              <w:t>Изградња и реконструкција јавне расвете</w:t>
            </w:r>
          </w:p>
        </w:tc>
        <w:tc>
          <w:tcPr>
            <w:tcW w:w="1710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ascii="Calibri" w:hAnsi="Calibri" w:eastAsia="Times New Roman" w:cs="Arial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ascii="Calibri" w:hAnsi="Calibri" w:eastAsia="Times New Roman" w:cs="Arial"/>
                <w:sz w:val="18"/>
                <w:szCs w:val="18"/>
              </w:rPr>
            </w:pPr>
            <w:r>
              <w:rPr>
                <w:rFonts w:ascii="Calibri" w:hAnsi="Calibri" w:eastAsia="Times New Roman" w:cs="Arial"/>
                <w:sz w:val="18"/>
                <w:szCs w:val="18"/>
              </w:rPr>
              <w:t xml:space="preserve">Пројектно-техничка документација </w:t>
            </w:r>
          </w:p>
        </w:tc>
        <w:tc>
          <w:tcPr>
            <w:tcW w:w="1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right"/>
              <w:rPr>
                <w:rFonts w:ascii="Calibri" w:hAnsi="Calibri" w:eastAsia="Times New Roman" w:cs="Arial"/>
                <w:sz w:val="18"/>
                <w:szCs w:val="18"/>
              </w:rPr>
            </w:pPr>
            <w:r>
              <w:rPr>
                <w:rFonts w:ascii="Calibri" w:hAnsi="Calibri" w:eastAsia="Times New Roman" w:cs="Arial"/>
                <w:sz w:val="18"/>
                <w:szCs w:val="18"/>
              </w:rPr>
              <w:t>500.000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ascii="Calibri" w:hAnsi="Calibri" w:eastAsia="Times New Roman" w:cs="Arial"/>
                <w:sz w:val="18"/>
                <w:szCs w:val="18"/>
              </w:rPr>
            </w:pPr>
            <w:r>
              <w:rPr>
                <w:rFonts w:ascii="Calibri" w:hAnsi="Calibri" w:eastAsia="Times New Roman" w:cs="Arial"/>
                <w:sz w:val="18"/>
                <w:szCs w:val="18"/>
              </w:rPr>
              <w:t>Извођење радова</w:t>
            </w:r>
          </w:p>
        </w:tc>
        <w:tc>
          <w:tcPr>
            <w:tcW w:w="17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right"/>
              <w:rPr>
                <w:rFonts w:ascii="Calibri" w:hAnsi="Calibri" w:eastAsia="Times New Roman" w:cs="Arial"/>
                <w:sz w:val="18"/>
                <w:szCs w:val="18"/>
              </w:rPr>
            </w:pPr>
            <w:r>
              <w:rPr>
                <w:rFonts w:ascii="Calibri" w:hAnsi="Calibri" w:eastAsia="Times New Roman" w:cs="Arial"/>
                <w:sz w:val="18"/>
                <w:szCs w:val="18"/>
              </w:rPr>
              <w:t>3.600.000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ascii="Calibri" w:hAnsi="Calibri" w:eastAsia="Times New Roman" w:cs="Arial"/>
                <w:sz w:val="18"/>
                <w:szCs w:val="18"/>
              </w:rPr>
            </w:pPr>
            <w:r>
              <w:br w:type="page"/>
            </w:r>
            <w:r>
              <w:rPr>
                <w:rFonts w:ascii="Calibri" w:hAnsi="Calibri" w:eastAsia="Times New Roman" w:cs="Arial"/>
                <w:sz w:val="18"/>
                <w:szCs w:val="18"/>
              </w:rPr>
              <w:t>Радна зона премаТурији: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ascii="Calibri" w:hAnsi="Calibri" w:eastAsia="Times New Roman" w:cs="Arial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 xml:space="preserve">Пројектно-техничка документација </w:t>
            </w:r>
          </w:p>
        </w:tc>
        <w:tc>
          <w:tcPr>
            <w:tcW w:w="1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420.000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ascii="Calibri" w:hAnsi="Calibri" w:eastAsia="Times New Roman" w:cs="Arial"/>
                <w:sz w:val="18"/>
                <w:szCs w:val="18"/>
              </w:rPr>
            </w:pPr>
            <w:r>
              <w:rPr>
                <w:rFonts w:ascii="Calibri" w:hAnsi="Calibri" w:eastAsia="Times New Roman" w:cs="Arial"/>
                <w:sz w:val="18"/>
                <w:szCs w:val="18"/>
              </w:rPr>
              <w:t>Извођење радова</w:t>
            </w:r>
          </w:p>
        </w:tc>
        <w:tc>
          <w:tcPr>
            <w:tcW w:w="1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right"/>
              <w:rPr>
                <w:rFonts w:ascii="Calibri" w:hAnsi="Calibri" w:eastAsia="Times New Roman" w:cs="Arial"/>
                <w:sz w:val="18"/>
                <w:szCs w:val="18"/>
              </w:rPr>
            </w:pPr>
            <w:r>
              <w:rPr>
                <w:rFonts w:ascii="Calibri" w:hAnsi="Calibri" w:eastAsia="Times New Roman" w:cs="Arial"/>
                <w:sz w:val="18"/>
                <w:szCs w:val="18"/>
              </w:rPr>
              <w:t>8.000.000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95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ascii="Calibri" w:hAnsi="Calibri" w:eastAsia="Times New Roman" w:cs="Arial"/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ascii="Calibri" w:hAnsi="Calibri" w:eastAsia="Times New Roman" w:cs="Arial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right"/>
              <w:rPr>
                <w:rFonts w:ascii="Calibri" w:hAnsi="Calibri" w:eastAsia="Times New Roman" w:cs="Arial"/>
                <w:bCs/>
                <w:color w:val="auto"/>
                <w:sz w:val="18"/>
                <w:szCs w:val="18"/>
              </w:rPr>
            </w:pPr>
            <w:r>
              <w:rPr>
                <w:rFonts w:ascii="Calibri" w:hAnsi="Calibri" w:eastAsia="Times New Roman" w:cs="Arial"/>
                <w:bCs/>
                <w:color w:val="auto"/>
                <w:sz w:val="18"/>
                <w:szCs w:val="18"/>
              </w:rPr>
              <w:t>Укупно електро-енергетска мрежа и јавна расвета: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right"/>
              <w:rPr>
                <w:rFonts w:ascii="Calibri" w:hAnsi="Calibri" w:eastAsia="Times New Roman" w:cs="Arial"/>
                <w:b/>
                <w:bCs/>
                <w:color w:val="auto"/>
                <w:sz w:val="18"/>
                <w:szCs w:val="18"/>
                <w:lang w:val="sr-Cyrl-RS"/>
              </w:rPr>
            </w:pPr>
            <w:r>
              <w:rPr>
                <w:rFonts w:ascii="Calibri" w:hAnsi="Calibri" w:eastAsia="Times New Roman" w:cs="Arial"/>
                <w:b/>
                <w:bCs/>
                <w:color w:val="auto"/>
                <w:sz w:val="18"/>
                <w:szCs w:val="18"/>
              </w:rPr>
              <w:t>14.</w:t>
            </w:r>
            <w:r>
              <w:rPr>
                <w:rFonts w:ascii="Calibri" w:hAnsi="Calibri" w:eastAsia="Times New Roman" w:cs="Arial"/>
                <w:b/>
                <w:bCs/>
                <w:color w:val="auto"/>
                <w:sz w:val="18"/>
                <w:szCs w:val="18"/>
                <w:lang w:val="sr-Cyrl-RS"/>
              </w:rPr>
              <w:t>412</w:t>
            </w:r>
            <w:r>
              <w:rPr>
                <w:rFonts w:ascii="Calibri" w:hAnsi="Calibri" w:eastAsia="Times New Roman" w:cs="Arial"/>
                <w:b/>
                <w:bCs/>
                <w:color w:val="auto"/>
                <w:sz w:val="18"/>
                <w:szCs w:val="18"/>
              </w:rPr>
              <w:t>.</w:t>
            </w:r>
            <w:r>
              <w:rPr>
                <w:rFonts w:ascii="Calibri" w:hAnsi="Calibri" w:eastAsia="Times New Roman" w:cs="Arial"/>
                <w:b/>
                <w:bCs/>
                <w:color w:val="auto"/>
                <w:sz w:val="18"/>
                <w:szCs w:val="18"/>
                <w:lang w:val="sr-Cyrl-RS"/>
              </w:rPr>
              <w:t>501</w:t>
            </w:r>
          </w:p>
        </w:tc>
      </w:tr>
    </w:tbl>
    <w:p>
      <w:pPr>
        <w:ind w:firstLine="0"/>
        <w:rPr>
          <w:lang w:val="sr-Cyrl-RS"/>
        </w:rPr>
      </w:pPr>
      <w:r>
        <w:rPr>
          <w:color w:val="auto"/>
          <w:lang w:val="sr-Cyrl-RS"/>
        </w:rPr>
        <w:t xml:space="preserve">   </w:t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 xml:space="preserve"> “</w:t>
      </w:r>
    </w:p>
    <w:p>
      <w:pPr/>
      <w:r>
        <w:rPr>
          <w:lang w:val="sr-Cyrl-RS"/>
        </w:rPr>
        <w:t xml:space="preserve">У Средњорочном </w:t>
      </w:r>
      <w:r>
        <w:t>програм</w:t>
      </w:r>
      <w:r>
        <w:rPr>
          <w:lang w:val="sr-Cyrl-RS"/>
        </w:rPr>
        <w:t>у</w:t>
      </w:r>
      <w:r>
        <w:t xml:space="preserve"> уређивања грађевинског земљишта Општине </w:t>
      </w:r>
      <w:r>
        <w:rPr>
          <w:lang w:val="sr-Cyrl-RS"/>
        </w:rPr>
        <w:t>Србобран</w:t>
      </w:r>
      <w:r>
        <w:t xml:space="preserve"> за период од 20</w:t>
      </w:r>
      <w:r>
        <w:rPr>
          <w:lang w:val="sr-Cyrl-RS"/>
        </w:rPr>
        <w:t>20.</w:t>
      </w:r>
      <w:r>
        <w:t xml:space="preserve"> до 202</w:t>
      </w:r>
      <w:r>
        <w:rPr>
          <w:lang w:val="sr-Cyrl-RS"/>
        </w:rPr>
        <w:t>3.</w:t>
      </w:r>
      <w:r>
        <w:t xml:space="preserve"> године </w:t>
      </w:r>
      <w:r>
        <w:rPr>
          <w:lang w:val="sr-Cyrl-RS"/>
        </w:rPr>
        <w:t>мењају се табеле у тачки 3.2.4. Саобраћајне површине, тако да сада гласе :</w:t>
      </w:r>
    </w:p>
    <w:tbl>
      <w:tblPr>
        <w:tblStyle w:val="11"/>
        <w:tblW w:w="904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00"/>
        <w:gridCol w:w="164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rPr>
                <w:rFonts w:eastAsia="Times New Roman" w:cs="Arial"/>
                <w:color w:val="000000"/>
                <w:sz w:val="18"/>
                <w:szCs w:val="18"/>
                <w:lang w:val="sr-Cyrl-RS"/>
              </w:rPr>
            </w:pPr>
            <w:r>
              <w:rPr>
                <w:lang w:val="sr-Cyrl-RS"/>
              </w:rPr>
              <w:t>„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center"/>
              <w:rPr>
                <w:rFonts w:eastAsia="Times New Roman" w:cs="Arial"/>
                <w:color w:val="000000"/>
                <w:sz w:val="18"/>
                <w:szCs w:val="18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</w:rPr>
              <w:t xml:space="preserve">процена вредности инвестиције </w:t>
            </w:r>
            <w:r>
              <w:rPr>
                <w:rFonts w:eastAsia="Times New Roman" w:cs="Arial"/>
                <w:color w:val="000000"/>
                <w:sz w:val="18"/>
                <w:szCs w:val="18"/>
                <w:lang w:val="sr-Cyrl-RS"/>
              </w:rPr>
              <w:t xml:space="preserve">без ПДВ-а </w:t>
            </w:r>
            <w:r>
              <w:rPr>
                <w:rFonts w:eastAsia="Times New Roman" w:cs="Arial"/>
                <w:color w:val="000000"/>
                <w:sz w:val="18"/>
                <w:szCs w:val="18"/>
              </w:rPr>
              <w:t>(РСД)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904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color w:val="7030A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904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1. Израда техничке документација са изградњом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 xml:space="preserve"> и реконструкцијом</w:t>
            </w:r>
            <w:r>
              <w:rPr>
                <w:rFonts w:eastAsia="Times New Roman" w:cs="Arial"/>
                <w:sz w:val="18"/>
                <w:szCs w:val="18"/>
              </w:rPr>
              <w:t xml:space="preserve"> саобраћајне инфраструктуре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Радна  зона у  Србобрану  према Турији–Пројектно техничка документација за изградњу саобраћајних површина са атмосферском канализацијом</w:t>
            </w:r>
          </w:p>
        </w:tc>
        <w:tc>
          <w:tcPr>
            <w:tcW w:w="16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63</w:t>
            </w:r>
            <w:r>
              <w:rPr>
                <w:rFonts w:eastAsia="Times New Roman" w:cs="Arial"/>
                <w:sz w:val="18"/>
                <w:szCs w:val="18"/>
              </w:rPr>
              <w:t>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Израда пројектне документације за изградњу прикључака саобраћајних површина на државни пут II A реда бр.115 са атсмосферском канализацијом</w:t>
            </w:r>
          </w:p>
        </w:tc>
        <w:tc>
          <w:tcPr>
            <w:tcW w:w="16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84</w:t>
            </w:r>
            <w:r>
              <w:rPr>
                <w:rFonts w:eastAsia="Times New Roman" w:cs="Arial"/>
                <w:sz w:val="18"/>
                <w:szCs w:val="18"/>
              </w:rPr>
              <w:t>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Израда пројектно-техничке документације изградње  дела  атарског пута на кп 2846/2  од стационаже 0+1.100.000 (атарски пут Надаљ-до државног пута Бечеј-Темерин)  у дужини од око 2430 м</w:t>
            </w:r>
          </w:p>
        </w:tc>
        <w:tc>
          <w:tcPr>
            <w:tcW w:w="16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430.000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Израда пројектне документације за изградњу саобраћаних прикључака на државни пут (Србобран-Фекетић и Србобран-Бечеј)</w:t>
            </w:r>
          </w:p>
        </w:tc>
        <w:tc>
          <w:tcPr>
            <w:tcW w:w="16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125.000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Израда пројектно – техничке документације дела</w:t>
            </w:r>
            <w:r>
              <w:rPr>
                <w:rFonts w:eastAsia="Times New Roman" w:cs="Arial"/>
                <w:sz w:val="18"/>
                <w:szCs w:val="18"/>
              </w:rPr>
              <w:t xml:space="preserve"> атарског пута на кп 12279/1 од стационаже 0+663.008 (мерено од  државног пута Србобран-Фекетић)  у дужини од око 2278.85м</w:t>
            </w:r>
          </w:p>
        </w:tc>
        <w:tc>
          <w:tcPr>
            <w:tcW w:w="16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400.000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4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  <w:t xml:space="preserve">Израда пројектне документације реконструкције раскрснице улица Петра Драпшина, Филипа Вишњића, Дожа Ђерђа и Цара Лазара у виду изградње кружне раскрснице на државном путу </w:t>
            </w:r>
            <w:r>
              <w:rPr>
                <w:rFonts w:eastAsia="Times New Roman" w:cs="Arial"/>
                <w:color w:val="auto"/>
                <w:sz w:val="18"/>
                <w:szCs w:val="18"/>
                <w:lang w:val="hu-HU"/>
              </w:rPr>
              <w:t>I</w:t>
            </w:r>
            <w:r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  <w:t>Б реда број 15</w:t>
            </w:r>
          </w:p>
        </w:tc>
        <w:tc>
          <w:tcPr>
            <w:tcW w:w="1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  <w:t>1.500.000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4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Изградња дела</w:t>
            </w:r>
            <w:r>
              <w:rPr>
                <w:rFonts w:eastAsia="Times New Roman" w:cs="Arial"/>
                <w:sz w:val="18"/>
                <w:szCs w:val="18"/>
              </w:rPr>
              <w:t xml:space="preserve"> атарског пута на кп 12279/1 од стационаже 0+663.008 (мерено од  државног пута Србобран-Фекетић)  у дужини од око 2278.85м</w:t>
            </w:r>
          </w:p>
        </w:tc>
        <w:tc>
          <w:tcPr>
            <w:tcW w:w="1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40.000.000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4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И</w:t>
            </w:r>
            <w:r>
              <w:rPr>
                <w:rFonts w:eastAsia="Times New Roman" w:cs="Arial"/>
                <w:sz w:val="18"/>
                <w:szCs w:val="18"/>
              </w:rPr>
              <w:t>зградњ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>а</w:t>
            </w:r>
            <w:r>
              <w:rPr>
                <w:rFonts w:eastAsia="Times New Roman" w:cs="Arial"/>
                <w:sz w:val="18"/>
                <w:szCs w:val="18"/>
              </w:rPr>
              <w:t xml:space="preserve">  дела  атарског пута на кп 2846/2  од стационаже 0+1.100.000 (атарски пут Надаљ-до државног пута Бечеј-Темерин)  у дужини од око 2430 м</w:t>
            </w:r>
          </w:p>
        </w:tc>
        <w:tc>
          <w:tcPr>
            <w:tcW w:w="1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43.000.000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4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</w:rPr>
              <w:t xml:space="preserve">Изградња 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 xml:space="preserve">и реконструкција </w:t>
            </w:r>
            <w:r>
              <w:rPr>
                <w:rFonts w:eastAsia="Times New Roman" w:cs="Arial"/>
                <w:sz w:val="18"/>
                <w:szCs w:val="18"/>
              </w:rPr>
              <w:t>саобраћајниц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 xml:space="preserve">а са пратећом инфраструктуром </w:t>
            </w:r>
            <w:r>
              <w:rPr>
                <w:rFonts w:eastAsia="Times New Roman" w:cs="Arial"/>
                <w:sz w:val="18"/>
                <w:szCs w:val="18"/>
              </w:rPr>
              <w:t>у радној зони према Турији</w:t>
            </w:r>
          </w:p>
        </w:tc>
        <w:tc>
          <w:tcPr>
            <w:tcW w:w="1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100.000.000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4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Изградња прикључ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>а</w:t>
            </w:r>
            <w:r>
              <w:rPr>
                <w:rFonts w:eastAsia="Times New Roman" w:cs="Arial"/>
                <w:sz w:val="18"/>
                <w:szCs w:val="18"/>
              </w:rPr>
              <w:t>ка новопредвиђен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>их</w:t>
            </w:r>
            <w:r>
              <w:rPr>
                <w:rFonts w:eastAsia="Times New Roman" w:cs="Arial"/>
                <w:sz w:val="18"/>
                <w:szCs w:val="18"/>
              </w:rPr>
              <w:t xml:space="preserve"> улиц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>а</w:t>
            </w:r>
            <w:r>
              <w:rPr>
                <w:rFonts w:eastAsia="Times New Roman" w:cs="Arial"/>
                <w:sz w:val="18"/>
                <w:szCs w:val="18"/>
              </w:rPr>
              <w:t xml:space="preserve"> у индустријској зони на државни пут II A реда бр.115 у Србобрану </w:t>
            </w:r>
          </w:p>
        </w:tc>
        <w:tc>
          <w:tcPr>
            <w:tcW w:w="1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4.00</w:t>
            </w:r>
            <w:r>
              <w:rPr>
                <w:rFonts w:eastAsia="Times New Roman" w:cs="Arial"/>
                <w:sz w:val="18"/>
                <w:szCs w:val="18"/>
              </w:rPr>
              <w:t>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4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Реконструкција дела тротоара у улици Карђорђева и улици Светог Саве у Србобрану</w:t>
            </w:r>
          </w:p>
        </w:tc>
        <w:tc>
          <w:tcPr>
            <w:tcW w:w="1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4.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>48</w:t>
            </w:r>
            <w:r>
              <w:rPr>
                <w:rFonts w:eastAsia="Times New Roman" w:cs="Arial"/>
                <w:sz w:val="18"/>
                <w:szCs w:val="18"/>
              </w:rPr>
              <w:t>7.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>09</w:t>
            </w:r>
            <w:r>
              <w:rPr>
                <w:rFonts w:eastAsia="Times New Roman" w:cs="Arial"/>
                <w:sz w:val="18"/>
                <w:szCs w:val="18"/>
              </w:rPr>
              <w:t>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4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 xml:space="preserve">Реконструкција приступног локалног пута на кп бр.12333 КО Србобран (технички пријем) </w:t>
            </w:r>
          </w:p>
        </w:tc>
        <w:tc>
          <w:tcPr>
            <w:tcW w:w="1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166.667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9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Style w:val="11"/>
              <w:tblW w:w="9040" w:type="dxa"/>
              <w:tblInd w:w="93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400"/>
              <w:gridCol w:w="1640"/>
            </w:tblGrid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5" w:hRule="atLeast"/>
              </w:trPr>
              <w:tc>
                <w:tcPr>
                  <w:tcW w:w="7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>
                  <w:pPr>
                    <w:spacing w:after="0"/>
                    <w:ind w:firstLine="0"/>
                    <w:jc w:val="right"/>
                    <w:rPr>
                      <w:rFonts w:eastAsia="Times New Roman" w:cs="Arial"/>
                      <w:color w:val="0070C0"/>
                      <w:sz w:val="18"/>
                      <w:szCs w:val="18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>
                  <w:pPr>
                    <w:spacing w:after="0"/>
                    <w:ind w:firstLine="0"/>
                    <w:jc w:val="center"/>
                    <w:rPr>
                      <w:rFonts w:eastAsia="Times New Roman" w:cs="Arial"/>
                      <w:color w:val="0070C0"/>
                      <w:sz w:val="18"/>
                      <w:szCs w:val="18"/>
                    </w:rPr>
                  </w:pPr>
                  <w:r>
                    <w:rPr>
                      <w:rFonts w:eastAsia="Times New Roman" w:cs="Arial"/>
                      <w:color w:val="0070C0"/>
                      <w:sz w:val="18"/>
                      <w:szCs w:val="18"/>
                      <w:lang w:val="sr-Cyrl-RS"/>
                    </w:rPr>
                    <w:t xml:space="preserve">  </w:t>
                  </w:r>
                  <w:r>
                    <w:rPr>
                      <w:rFonts w:eastAsia="Times New Roman" w:cs="Arial"/>
                      <w:color w:val="auto"/>
                      <w:sz w:val="18"/>
                      <w:szCs w:val="18"/>
                      <w:lang w:val="sr-Cyrl-RS"/>
                    </w:rPr>
                    <w:t xml:space="preserve"> 19</w:t>
                  </w:r>
                  <w:r>
                    <w:rPr>
                      <w:rFonts w:eastAsia="Times New Roman" w:cs="Arial"/>
                      <w:color w:val="auto"/>
                      <w:sz w:val="18"/>
                      <w:szCs w:val="18"/>
                    </w:rPr>
                    <w:t>5</w:t>
                  </w:r>
                  <w:r>
                    <w:rPr>
                      <w:rFonts w:eastAsia="Times New Roman" w:cs="Arial"/>
                      <w:color w:val="auto"/>
                      <w:sz w:val="18"/>
                      <w:szCs w:val="18"/>
                      <w:lang w:val="sr-Cyrl-RS"/>
                    </w:rPr>
                    <w:t>.</w:t>
                  </w:r>
                  <w:r>
                    <w:rPr>
                      <w:rFonts w:eastAsia="Times New Roman" w:cs="Arial"/>
                      <w:color w:val="auto"/>
                      <w:sz w:val="18"/>
                      <w:szCs w:val="18"/>
                    </w:rPr>
                    <w:t>5</w:t>
                  </w:r>
                  <w:r>
                    <w:rPr>
                      <w:rFonts w:eastAsia="Times New Roman" w:cs="Arial"/>
                      <w:color w:val="auto"/>
                      <w:sz w:val="18"/>
                      <w:szCs w:val="18"/>
                      <w:lang w:val="sr-Cyrl-RS"/>
                    </w:rPr>
                    <w:t>78.757</w:t>
                  </w:r>
                </w:p>
              </w:tc>
            </w:tr>
          </w:tbl>
          <w:p>
            <w:pPr>
              <w:spacing w:after="0"/>
              <w:ind w:firstLine="0"/>
              <w:jc w:val="center"/>
              <w:rPr>
                <w:rFonts w:eastAsia="Times New Roman" w:cs="Arial"/>
                <w:color w:val="0070C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904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2</w:t>
            </w:r>
            <w:r>
              <w:rPr>
                <w:rFonts w:eastAsia="Times New Roman" w:cs="Arial"/>
                <w:sz w:val="18"/>
                <w:szCs w:val="18"/>
              </w:rPr>
              <w:t>. Израда техничке документација са изградњом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 xml:space="preserve"> и реконструкцијом</w:t>
            </w:r>
            <w:r>
              <w:rPr>
                <w:rFonts w:eastAsia="Times New Roman" w:cs="Arial"/>
                <w:sz w:val="18"/>
                <w:szCs w:val="18"/>
              </w:rPr>
              <w:t xml:space="preserve"> паркинг површина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>, платоа и аутобуских стајалишта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4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outlineLvl w:val="0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Израда пројектно-техничке документације за реконструкцију платоа на углу улица Светог Саве и Др. Лазара Ракића у Надаљу</w:t>
            </w:r>
          </w:p>
        </w:tc>
        <w:tc>
          <w:tcPr>
            <w:tcW w:w="1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0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708.333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4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Израда пројектно – техничке документације изградње паркинга у улици Бардовој у Србобрану</w:t>
            </w:r>
          </w:p>
        </w:tc>
        <w:tc>
          <w:tcPr>
            <w:tcW w:w="1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500.000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4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Изградња паркинга у улици Бардовој у Србобрану</w:t>
            </w:r>
          </w:p>
        </w:tc>
        <w:tc>
          <w:tcPr>
            <w:tcW w:w="1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2.500.000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4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Реконструкција Трга Слободе у Србобрану</w:t>
            </w:r>
          </w:p>
        </w:tc>
        <w:tc>
          <w:tcPr>
            <w:tcW w:w="1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92.916.667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4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Уређење платоа на углу улица Св. Саве и Др. Лазара Ракића у Надаљу</w:t>
            </w:r>
          </w:p>
        </w:tc>
        <w:tc>
          <w:tcPr>
            <w:tcW w:w="1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2.500.000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4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Изградња аутобуских стајалишта у Србобрану и Турији</w:t>
            </w:r>
          </w:p>
        </w:tc>
        <w:tc>
          <w:tcPr>
            <w:tcW w:w="1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6.666.667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4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  <w:t>Реконструкција пијачног платоа са изградњом објеката за трговину на мало</w:t>
            </w:r>
          </w:p>
        </w:tc>
        <w:tc>
          <w:tcPr>
            <w:tcW w:w="1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  <w:t>67.500.000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color w:val="auto"/>
                <w:sz w:val="18"/>
                <w:szCs w:val="18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color w:val="auto"/>
                <w:sz w:val="18"/>
                <w:szCs w:val="18"/>
                <w:lang w:val="sr-Latn-RS"/>
              </w:rPr>
            </w:pPr>
            <w:r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  <w:t>173.2</w:t>
            </w:r>
            <w:r>
              <w:rPr>
                <w:rFonts w:eastAsia="Times New Roman" w:cs="Arial"/>
                <w:color w:val="auto"/>
                <w:sz w:val="18"/>
                <w:szCs w:val="18"/>
                <w:lang w:val="sr-Latn-RS"/>
              </w:rPr>
              <w:t>91</w:t>
            </w:r>
            <w:r>
              <w:rPr>
                <w:rFonts w:eastAsia="Times New Roman" w:cs="Arial"/>
                <w:color w:val="auto"/>
                <w:sz w:val="18"/>
                <w:szCs w:val="18"/>
                <w:lang w:val="sr-Cyrl-RS"/>
              </w:rPr>
              <w:t>.</w:t>
            </w:r>
            <w:r>
              <w:rPr>
                <w:rFonts w:eastAsia="Times New Roman" w:cs="Arial"/>
                <w:color w:val="auto"/>
                <w:sz w:val="18"/>
                <w:szCs w:val="18"/>
                <w:lang w:val="sr-Latn-RS"/>
              </w:rPr>
              <w:t>667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904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3</w:t>
            </w:r>
            <w:r>
              <w:rPr>
                <w:rFonts w:eastAsia="Times New Roman" w:cs="Arial"/>
                <w:sz w:val="18"/>
                <w:szCs w:val="18"/>
              </w:rPr>
              <w:t>.Израда техничке документација са изградњом бициклистичке инфраструктуре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4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outlineLvl w:val="0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Израда пројектно-техничке документације за изградњу бициклистичке стазе на разним локалитетима</w:t>
            </w:r>
          </w:p>
        </w:tc>
        <w:tc>
          <w:tcPr>
            <w:tcW w:w="1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0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1.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>0</w:t>
            </w:r>
            <w:r>
              <w:rPr>
                <w:rFonts w:eastAsia="Times New Roman" w:cs="Arial"/>
                <w:sz w:val="18"/>
                <w:szCs w:val="18"/>
              </w:rPr>
              <w:t>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color w:val="7030A0"/>
                <w:sz w:val="18"/>
                <w:szCs w:val="18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color w:val="0070C0"/>
                <w:sz w:val="18"/>
                <w:szCs w:val="18"/>
              </w:rPr>
            </w:pPr>
            <w:r>
              <w:rPr>
                <w:rFonts w:eastAsia="Times New Roman" w:cs="Arial"/>
                <w:color w:val="0070C0"/>
                <w:sz w:val="18"/>
                <w:szCs w:val="18"/>
                <w:lang w:val="sr-Cyrl-RS"/>
              </w:rPr>
              <w:t>1</w:t>
            </w:r>
            <w:r>
              <w:rPr>
                <w:rFonts w:eastAsia="Times New Roman" w:cs="Arial"/>
                <w:color w:val="0070C0"/>
                <w:sz w:val="18"/>
                <w:szCs w:val="18"/>
              </w:rPr>
              <w:t>.000.000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904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sz w:val="18"/>
                <w:szCs w:val="18"/>
                <w:lang w:val="sr-Cyrl-RS"/>
              </w:rPr>
            </w:pPr>
            <w:r>
              <w:rPr>
                <w:rFonts w:eastAsia="Times New Roman" w:cs="Arial"/>
                <w:sz w:val="18"/>
                <w:szCs w:val="18"/>
                <w:lang w:val="sr-Cyrl-RS"/>
              </w:rPr>
              <w:t>4</w:t>
            </w:r>
            <w:r>
              <w:rPr>
                <w:rFonts w:eastAsia="Times New Roman" w:cs="Arial"/>
                <w:sz w:val="18"/>
                <w:szCs w:val="18"/>
              </w:rPr>
              <w:t>.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 xml:space="preserve"> Постављање саобраћајне сигнализације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4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 xml:space="preserve">Постављање саобраћајне сигнализације на државним путевима I Б реда бр. 15 и II А реда бр. 100 и бр.115 за одсеке у насељима на </w:t>
            </w:r>
            <w:r>
              <w:rPr>
                <w:rFonts w:eastAsia="Times New Roman" w:cs="Arial"/>
                <w:sz w:val="18"/>
                <w:szCs w:val="18"/>
                <w:lang w:val="sr-Cyrl-RS"/>
              </w:rPr>
              <w:t xml:space="preserve">и на локалним путевима на </w:t>
            </w:r>
            <w:r>
              <w:rPr>
                <w:rFonts w:eastAsia="Times New Roman" w:cs="Arial"/>
                <w:sz w:val="18"/>
                <w:szCs w:val="18"/>
              </w:rPr>
              <w:t>територији општине Србобран</w:t>
            </w:r>
          </w:p>
        </w:tc>
        <w:tc>
          <w:tcPr>
            <w:tcW w:w="1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outlineLvl w:val="1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10.500.000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color w:val="7030A0"/>
                <w:sz w:val="18"/>
                <w:szCs w:val="18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color w:val="0070C0"/>
                <w:sz w:val="18"/>
                <w:szCs w:val="18"/>
              </w:rPr>
            </w:pPr>
            <w:r>
              <w:rPr>
                <w:rFonts w:eastAsia="Times New Roman" w:cs="Arial"/>
                <w:color w:val="0070C0"/>
                <w:sz w:val="18"/>
                <w:szCs w:val="18"/>
              </w:rPr>
              <w:t>10</w:t>
            </w:r>
            <w:r>
              <w:rPr>
                <w:rFonts w:eastAsia="Times New Roman" w:cs="Arial"/>
                <w:color w:val="0070C0"/>
                <w:sz w:val="18"/>
                <w:szCs w:val="18"/>
                <w:lang w:val="sr-Cyrl-RS"/>
              </w:rPr>
              <w:t>.5</w:t>
            </w:r>
            <w:r>
              <w:rPr>
                <w:rFonts w:eastAsia="Times New Roman" w:cs="Arial"/>
                <w:color w:val="0070C0"/>
                <w:sz w:val="18"/>
                <w:szCs w:val="18"/>
              </w:rPr>
              <w:t>00</w:t>
            </w:r>
            <w:r>
              <w:rPr>
                <w:rFonts w:eastAsia="Times New Roman" w:cs="Arial"/>
                <w:color w:val="0070C0"/>
                <w:sz w:val="18"/>
                <w:szCs w:val="18"/>
                <w:lang w:val="sr-Cyrl-RS"/>
              </w:rPr>
              <w:t>.</w:t>
            </w:r>
            <w:r>
              <w:rPr>
                <w:rFonts w:eastAsia="Times New Roman" w:cs="Arial"/>
                <w:color w:val="0070C0"/>
                <w:sz w:val="18"/>
                <w:szCs w:val="18"/>
              </w:rPr>
              <w:t>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color w:val="auto"/>
                <w:sz w:val="18"/>
                <w:szCs w:val="18"/>
              </w:rPr>
            </w:pPr>
            <w:r>
              <w:rPr>
                <w:rFonts w:eastAsia="Times New Roman" w:cs="Arial"/>
                <w:color w:val="auto"/>
                <w:sz w:val="18"/>
                <w:szCs w:val="18"/>
              </w:rPr>
              <w:t>Укупно уређивање саобраћајне инфраструктуре: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after="0"/>
              <w:ind w:firstLine="0"/>
              <w:jc w:val="righ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>
              <w:rPr>
                <w:rFonts w:eastAsia="Times New Roman" w:cs="Arial"/>
                <w:b/>
                <w:color w:val="auto"/>
                <w:sz w:val="18"/>
                <w:szCs w:val="18"/>
              </w:rPr>
              <w:t>3</w:t>
            </w:r>
            <w:r>
              <w:rPr>
                <w:rFonts w:eastAsia="Times New Roman" w:cs="Arial"/>
                <w:b/>
                <w:color w:val="auto"/>
                <w:sz w:val="18"/>
                <w:szCs w:val="18"/>
                <w:lang w:val="sr-Cyrl-RS"/>
              </w:rPr>
              <w:t>80.3</w:t>
            </w:r>
            <w:r>
              <w:rPr>
                <w:rFonts w:eastAsia="Times New Roman" w:cs="Arial"/>
                <w:b/>
                <w:color w:val="auto"/>
                <w:sz w:val="18"/>
                <w:szCs w:val="18"/>
              </w:rPr>
              <w:t>70</w:t>
            </w:r>
            <w:r>
              <w:rPr>
                <w:rFonts w:eastAsia="Times New Roman" w:cs="Arial"/>
                <w:b/>
                <w:color w:val="auto"/>
                <w:sz w:val="18"/>
                <w:szCs w:val="18"/>
                <w:lang w:val="sr-Cyrl-RS"/>
              </w:rPr>
              <w:t>.</w:t>
            </w:r>
            <w:r>
              <w:rPr>
                <w:rFonts w:eastAsia="Times New Roman" w:cs="Arial"/>
                <w:b/>
                <w:color w:val="auto"/>
                <w:sz w:val="18"/>
                <w:szCs w:val="18"/>
              </w:rPr>
              <w:t>424</w:t>
            </w:r>
          </w:p>
        </w:tc>
      </w:tr>
    </w:tbl>
    <w:p>
      <w:pPr>
        <w:ind w:firstLine="0"/>
      </w:pPr>
      <w:r>
        <w:rPr>
          <w:color w:val="auto"/>
          <w:lang w:val="sr-Cyrl-RS"/>
        </w:rPr>
        <w:t xml:space="preserve">   </w:t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ab/>
      </w:r>
      <w:r>
        <w:rPr>
          <w:color w:val="auto"/>
          <w:lang w:val="sr-Cyrl-RS"/>
        </w:rPr>
        <w:t xml:space="preserve"> “</w:t>
      </w:r>
    </w:p>
    <w:p>
      <w:pPr>
        <w:rPr>
          <w:lang w:val="sr-Cyrl-RS"/>
        </w:rPr>
      </w:pPr>
      <w:r>
        <w:rPr>
          <w:lang w:val="sr-Cyrl-RS"/>
        </w:rPr>
        <w:t xml:space="preserve">У Средњорочном </w:t>
      </w:r>
      <w:r>
        <w:t>програм</w:t>
      </w:r>
      <w:r>
        <w:rPr>
          <w:lang w:val="sr-Cyrl-RS"/>
        </w:rPr>
        <w:t>у</w:t>
      </w:r>
      <w:r>
        <w:t xml:space="preserve"> уређивања грађевинског земљишта Општине </w:t>
      </w:r>
      <w:r>
        <w:rPr>
          <w:lang w:val="sr-Cyrl-RS"/>
        </w:rPr>
        <w:t>Србобран</w:t>
      </w:r>
      <w:r>
        <w:t xml:space="preserve"> за период од 20</w:t>
      </w:r>
      <w:r>
        <w:rPr>
          <w:lang w:val="sr-Cyrl-RS"/>
        </w:rPr>
        <w:t>20.</w:t>
      </w:r>
      <w:r>
        <w:t xml:space="preserve"> до 202</w:t>
      </w:r>
      <w:r>
        <w:rPr>
          <w:lang w:val="sr-Cyrl-RS"/>
        </w:rPr>
        <w:t>3.</w:t>
      </w:r>
      <w:r>
        <w:t xml:space="preserve"> године </w:t>
      </w:r>
      <w:r>
        <w:rPr>
          <w:lang w:val="sr-Cyrl-RS"/>
        </w:rPr>
        <w:t>мења се табела у тачки 4. Приказ извора и услова финансирања  предвиђених радова на уређивању земљишта тако да сада гласи :</w:t>
      </w:r>
    </w:p>
    <w:p>
      <w:pPr>
        <w:ind w:firstLine="0"/>
        <w:rPr>
          <w:lang w:val="sr-Cyrl-RS"/>
        </w:rPr>
      </w:pPr>
      <w:r>
        <w:rPr>
          <w:lang w:val="sr-Cyrl-RS"/>
        </w:rPr>
        <w:t>„</w:t>
      </w:r>
    </w:p>
    <w:tbl>
      <w:tblPr>
        <w:tblStyle w:val="11"/>
        <w:tblW w:w="880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2"/>
        <w:gridCol w:w="255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ascii="Calibri" w:hAnsi="Calibri" w:eastAsia="Times New Roman" w:cs="Arial"/>
                <w:sz w:val="20"/>
                <w:szCs w:val="20"/>
              </w:rPr>
            </w:pPr>
            <w:r>
              <w:rPr>
                <w:rFonts w:ascii="Calibri" w:hAnsi="Calibri" w:eastAsia="Times New Roman" w:cs="Arial"/>
                <w:sz w:val="20"/>
                <w:szCs w:val="20"/>
              </w:rPr>
              <w:t>Област уређивања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center"/>
              <w:rPr>
                <w:rFonts w:ascii="Calibri" w:hAnsi="Calibri" w:eastAsia="Times New Roman" w:cs="Arial"/>
                <w:sz w:val="20"/>
                <w:szCs w:val="20"/>
              </w:rPr>
            </w:pPr>
            <w:r>
              <w:rPr>
                <w:rFonts w:ascii="Calibri" w:hAnsi="Calibri" w:eastAsia="Times New Roman" w:cs="Arial"/>
                <w:sz w:val="20"/>
                <w:szCs w:val="20"/>
              </w:rPr>
              <w:t xml:space="preserve">    процена вредности </w:t>
            </w:r>
          </w:p>
          <w:p>
            <w:pPr>
              <w:spacing w:after="0"/>
              <w:ind w:firstLine="0"/>
              <w:jc w:val="center"/>
              <w:rPr>
                <w:rFonts w:ascii="Calibri" w:hAnsi="Calibri" w:eastAsia="Times New Roman" w:cs="Arial"/>
                <w:sz w:val="20"/>
                <w:szCs w:val="20"/>
              </w:rPr>
            </w:pPr>
            <w:r>
              <w:rPr>
                <w:rFonts w:ascii="Calibri" w:hAnsi="Calibri" w:eastAsia="Times New Roman" w:cs="Arial"/>
                <w:sz w:val="20"/>
                <w:szCs w:val="20"/>
              </w:rPr>
              <w:t xml:space="preserve">   инвестиција</w:t>
            </w:r>
            <w:r>
              <w:rPr>
                <w:rFonts w:ascii="Calibri" w:hAnsi="Calibri" w:eastAsia="Times New Roman" w:cs="Arial"/>
                <w:sz w:val="20"/>
                <w:szCs w:val="20"/>
                <w:lang w:val="sr-Cyrl-RS"/>
              </w:rPr>
              <w:t xml:space="preserve"> без ПДВ-а</w:t>
            </w:r>
          </w:p>
          <w:p>
            <w:pPr>
              <w:spacing w:after="0"/>
              <w:ind w:firstLine="0"/>
              <w:rPr>
                <w:rFonts w:ascii="Calibri" w:hAnsi="Calibri" w:eastAsia="Times New Roman" w:cs="Arial"/>
                <w:sz w:val="20"/>
                <w:szCs w:val="20"/>
              </w:rPr>
            </w:pPr>
            <w:r>
              <w:rPr>
                <w:rFonts w:ascii="Calibri" w:hAnsi="Calibri" w:eastAsia="Times New Roman" w:cs="Arial"/>
                <w:sz w:val="20"/>
                <w:szCs w:val="20"/>
              </w:rPr>
              <w:t xml:space="preserve">          (РСД) 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ascii="Calibri" w:hAnsi="Calibri" w:eastAsia="Times New Roman" w:cs="Arial"/>
                <w:sz w:val="20"/>
                <w:szCs w:val="20"/>
              </w:rPr>
            </w:pPr>
            <w:r>
              <w:rPr>
                <w:rFonts w:ascii="Calibri" w:hAnsi="Calibri" w:eastAsia="Times New Roman" w:cs="Arial"/>
                <w:sz w:val="20"/>
                <w:szCs w:val="20"/>
              </w:rPr>
              <w:t>Припремање земљишта</w:t>
            </w:r>
          </w:p>
        </w:tc>
        <w:tc>
          <w:tcPr>
            <w:tcW w:w="25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right"/>
              <w:rPr>
                <w:rFonts w:ascii="Calibri" w:hAnsi="Calibri" w:eastAsia="Times New Roman" w:cs="Arial"/>
                <w:sz w:val="20"/>
                <w:szCs w:val="20"/>
                <w:lang w:val="sr-Cyrl-RS"/>
              </w:rPr>
            </w:pPr>
            <w:r>
              <w:rPr>
                <w:rFonts w:ascii="Calibri" w:hAnsi="Calibri" w:eastAsia="Times New Roman" w:cs="Arial"/>
                <w:sz w:val="20"/>
                <w:szCs w:val="20"/>
                <w:lang w:val="sr-Cyrl-RS"/>
              </w:rPr>
              <w:t>28</w:t>
            </w:r>
            <w:r>
              <w:rPr>
                <w:rFonts w:ascii="Calibri" w:hAnsi="Calibri" w:eastAsia="Times New Roman" w:cs="Arial"/>
                <w:sz w:val="20"/>
                <w:szCs w:val="20"/>
              </w:rPr>
              <w:t>.6</w:t>
            </w:r>
            <w:r>
              <w:rPr>
                <w:rFonts w:ascii="Calibri" w:hAnsi="Calibri" w:eastAsia="Times New Roman" w:cs="Arial"/>
                <w:sz w:val="20"/>
                <w:szCs w:val="20"/>
                <w:lang w:val="sr-Cyrl-RS"/>
              </w:rPr>
              <w:t>50.000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2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ascii="Calibri" w:hAnsi="Calibri" w:eastAsia="Times New Roman" w:cs="Arial"/>
                <w:color w:val="auto"/>
                <w:sz w:val="20"/>
                <w:szCs w:val="20"/>
              </w:rPr>
            </w:pPr>
            <w:r>
              <w:rPr>
                <w:rFonts w:ascii="Calibri" w:hAnsi="Calibri" w:eastAsia="Times New Roman" w:cs="Arial"/>
                <w:color w:val="auto"/>
                <w:sz w:val="20"/>
                <w:szCs w:val="20"/>
              </w:rPr>
              <w:t>Водоводна инфраструктура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right"/>
              <w:rPr>
                <w:rFonts w:ascii="Calibri" w:hAnsi="Calibri" w:eastAsia="Times New Roman" w:cs="Arial"/>
                <w:color w:val="auto"/>
                <w:sz w:val="20"/>
                <w:szCs w:val="20"/>
              </w:rPr>
            </w:pPr>
            <w:r>
              <w:rPr>
                <w:rFonts w:eastAsia="Times New Roman" w:cs="Arial"/>
                <w:b/>
                <w:bCs/>
                <w:color w:val="auto"/>
                <w:sz w:val="18"/>
                <w:szCs w:val="18"/>
                <w:lang w:val="sr-Cyrl-RS"/>
              </w:rPr>
              <w:t>307</w:t>
            </w:r>
            <w:r>
              <w:rPr>
                <w:rFonts w:eastAsia="Times New Roman" w:cs="Arial"/>
                <w:b/>
                <w:bCs/>
                <w:color w:val="auto"/>
                <w:sz w:val="18"/>
                <w:szCs w:val="18"/>
              </w:rPr>
              <w:t>.</w:t>
            </w:r>
            <w:r>
              <w:rPr>
                <w:rFonts w:eastAsia="Times New Roman" w:cs="Arial"/>
                <w:b/>
                <w:bCs/>
                <w:color w:val="auto"/>
                <w:sz w:val="18"/>
                <w:szCs w:val="18"/>
                <w:lang w:val="sr-Cyrl-RS"/>
              </w:rPr>
              <w:t>755</w:t>
            </w:r>
            <w:r>
              <w:rPr>
                <w:rFonts w:eastAsia="Times New Roman" w:cs="Arial"/>
                <w:b/>
                <w:bCs/>
                <w:color w:val="auto"/>
                <w:sz w:val="18"/>
                <w:szCs w:val="18"/>
              </w:rPr>
              <w:t>.</w:t>
            </w:r>
            <w:r>
              <w:rPr>
                <w:rFonts w:eastAsia="Times New Roman" w:cs="Arial"/>
                <w:b/>
                <w:bCs/>
                <w:color w:val="auto"/>
                <w:sz w:val="18"/>
                <w:szCs w:val="18"/>
                <w:lang w:val="sr-Cyrl-RS"/>
              </w:rPr>
              <w:t>835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2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ascii="Calibri" w:hAnsi="Calibri" w:eastAsia="Times New Roman" w:cs="Arial"/>
                <w:color w:val="auto"/>
                <w:sz w:val="20"/>
                <w:szCs w:val="20"/>
              </w:rPr>
            </w:pPr>
            <w:r>
              <w:rPr>
                <w:rFonts w:ascii="Calibri" w:hAnsi="Calibri" w:eastAsia="Times New Roman" w:cs="Arial"/>
                <w:color w:val="auto"/>
                <w:sz w:val="20"/>
                <w:szCs w:val="20"/>
              </w:rPr>
              <w:t>Атмосферска канализација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right"/>
              <w:rPr>
                <w:rFonts w:ascii="Calibri" w:hAnsi="Calibri" w:eastAsia="Times New Roman" w:cs="Arial"/>
                <w:color w:val="auto"/>
                <w:sz w:val="20"/>
                <w:szCs w:val="20"/>
              </w:rPr>
            </w:pPr>
            <w:r>
              <w:rPr>
                <w:rFonts w:eastAsia="Times New Roman" w:cs="Arial"/>
                <w:b/>
                <w:bCs/>
                <w:color w:val="auto"/>
                <w:sz w:val="18"/>
                <w:szCs w:val="18"/>
                <w:lang w:val="sr-Cyrl-RS"/>
              </w:rPr>
              <w:t>29.346</w:t>
            </w:r>
            <w:r>
              <w:rPr>
                <w:rFonts w:eastAsia="Times New Roman" w:cs="Arial"/>
                <w:b/>
                <w:bCs/>
                <w:color w:val="auto"/>
                <w:sz w:val="18"/>
                <w:szCs w:val="18"/>
              </w:rPr>
              <w:t>.</w:t>
            </w:r>
            <w:r>
              <w:rPr>
                <w:rFonts w:eastAsia="Times New Roman" w:cs="Arial"/>
                <w:b/>
                <w:bCs/>
                <w:color w:val="auto"/>
                <w:sz w:val="18"/>
                <w:szCs w:val="18"/>
                <w:lang w:val="sr-Cyrl-RS"/>
              </w:rPr>
              <w:t>244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2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ascii="Calibri" w:hAnsi="Calibri" w:eastAsia="Times New Roman" w:cs="Arial"/>
                <w:color w:val="auto"/>
                <w:sz w:val="20"/>
                <w:szCs w:val="20"/>
              </w:rPr>
            </w:pPr>
            <w:r>
              <w:rPr>
                <w:rFonts w:ascii="Calibri" w:hAnsi="Calibri" w:eastAsia="Times New Roman" w:cs="Arial"/>
                <w:color w:val="auto"/>
                <w:sz w:val="20"/>
                <w:szCs w:val="20"/>
              </w:rPr>
              <w:t>Канализација отпадних вода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right"/>
              <w:rPr>
                <w:rFonts w:ascii="Calibri" w:hAnsi="Calibri" w:eastAsia="Times New Roman" w:cs="Arial"/>
                <w:color w:val="auto"/>
                <w:sz w:val="20"/>
                <w:szCs w:val="20"/>
              </w:rPr>
            </w:pPr>
            <w:r>
              <w:rPr>
                <w:rFonts w:eastAsia="Times New Roman" w:cs="Arial"/>
                <w:b/>
                <w:bCs/>
                <w:color w:val="auto"/>
                <w:sz w:val="18"/>
                <w:szCs w:val="18"/>
                <w:lang w:val="sr-Cyrl-RS"/>
              </w:rPr>
              <w:t>446.276.667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2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ascii="Calibri" w:hAnsi="Calibri" w:eastAsia="Times New Roman" w:cs="Arial"/>
                <w:color w:val="auto"/>
                <w:sz w:val="20"/>
                <w:szCs w:val="20"/>
              </w:rPr>
            </w:pPr>
            <w:r>
              <w:rPr>
                <w:rFonts w:ascii="Calibri" w:hAnsi="Calibri" w:eastAsia="Times New Roman" w:cs="Arial"/>
                <w:color w:val="auto"/>
                <w:sz w:val="20"/>
                <w:szCs w:val="20"/>
              </w:rPr>
              <w:t>Електро-енергетска мрежа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right"/>
              <w:rPr>
                <w:rFonts w:ascii="Calibri" w:hAnsi="Calibri" w:eastAsia="Times New Roman" w:cs="Arial"/>
                <w:color w:val="auto"/>
                <w:sz w:val="20"/>
                <w:szCs w:val="20"/>
              </w:rPr>
            </w:pPr>
            <w:r>
              <w:rPr>
                <w:rFonts w:ascii="Calibri" w:hAnsi="Calibri" w:eastAsia="Times New Roman" w:cs="Arial"/>
                <w:b/>
                <w:bCs/>
                <w:color w:val="auto"/>
                <w:sz w:val="18"/>
                <w:szCs w:val="18"/>
              </w:rPr>
              <w:t>14.</w:t>
            </w:r>
            <w:r>
              <w:rPr>
                <w:rFonts w:ascii="Calibri" w:hAnsi="Calibri" w:eastAsia="Times New Roman" w:cs="Arial"/>
                <w:b/>
                <w:bCs/>
                <w:color w:val="auto"/>
                <w:sz w:val="18"/>
                <w:szCs w:val="18"/>
                <w:lang w:val="sr-Cyrl-RS"/>
              </w:rPr>
              <w:t>412</w:t>
            </w:r>
            <w:r>
              <w:rPr>
                <w:rFonts w:ascii="Calibri" w:hAnsi="Calibri" w:eastAsia="Times New Roman" w:cs="Arial"/>
                <w:b/>
                <w:bCs/>
                <w:color w:val="auto"/>
                <w:sz w:val="18"/>
                <w:szCs w:val="18"/>
              </w:rPr>
              <w:t>.</w:t>
            </w:r>
            <w:r>
              <w:rPr>
                <w:rFonts w:ascii="Calibri" w:hAnsi="Calibri" w:eastAsia="Times New Roman" w:cs="Arial"/>
                <w:b/>
                <w:bCs/>
                <w:color w:val="auto"/>
                <w:sz w:val="18"/>
                <w:szCs w:val="18"/>
                <w:lang w:val="sr-Cyrl-RS"/>
              </w:rPr>
              <w:t>501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2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left"/>
              <w:rPr>
                <w:rFonts w:ascii="Calibri" w:hAnsi="Calibri" w:eastAsia="Times New Roman" w:cs="Arial"/>
                <w:color w:val="auto"/>
                <w:sz w:val="20"/>
                <w:szCs w:val="20"/>
              </w:rPr>
            </w:pPr>
            <w:r>
              <w:rPr>
                <w:rFonts w:ascii="Calibri" w:hAnsi="Calibri" w:eastAsia="Times New Roman" w:cs="Arial"/>
                <w:color w:val="auto"/>
                <w:sz w:val="20"/>
                <w:szCs w:val="20"/>
              </w:rPr>
              <w:t>Уређивање саобраћајне инфраструктуре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right"/>
              <w:rPr>
                <w:rFonts w:ascii="Calibri" w:hAnsi="Calibri" w:eastAsia="Times New Roman" w:cs="Arial"/>
                <w:color w:val="auto"/>
                <w:sz w:val="20"/>
                <w:szCs w:val="20"/>
              </w:rPr>
            </w:pPr>
            <w:r>
              <w:rPr>
                <w:rFonts w:eastAsia="Times New Roman" w:cs="Arial"/>
                <w:b/>
                <w:color w:val="auto"/>
                <w:sz w:val="18"/>
                <w:szCs w:val="18"/>
              </w:rPr>
              <w:t>3</w:t>
            </w:r>
            <w:r>
              <w:rPr>
                <w:rFonts w:eastAsia="Times New Roman" w:cs="Arial"/>
                <w:b/>
                <w:color w:val="auto"/>
                <w:sz w:val="18"/>
                <w:szCs w:val="18"/>
                <w:lang w:val="sr-Cyrl-RS"/>
              </w:rPr>
              <w:t>80.3</w:t>
            </w:r>
            <w:r>
              <w:rPr>
                <w:rFonts w:eastAsia="Times New Roman" w:cs="Arial"/>
                <w:b/>
                <w:color w:val="auto"/>
                <w:sz w:val="18"/>
                <w:szCs w:val="18"/>
              </w:rPr>
              <w:t>70</w:t>
            </w:r>
            <w:r>
              <w:rPr>
                <w:rFonts w:eastAsia="Times New Roman" w:cs="Arial"/>
                <w:b/>
                <w:color w:val="auto"/>
                <w:sz w:val="18"/>
                <w:szCs w:val="18"/>
                <w:lang w:val="sr-Cyrl-RS"/>
              </w:rPr>
              <w:t>.</w:t>
            </w:r>
            <w:r>
              <w:rPr>
                <w:rFonts w:eastAsia="Times New Roman" w:cs="Arial"/>
                <w:b/>
                <w:color w:val="auto"/>
                <w:sz w:val="18"/>
                <w:szCs w:val="18"/>
              </w:rPr>
              <w:t>424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right"/>
              <w:rPr>
                <w:rFonts w:ascii="Calibri" w:hAnsi="Calibri" w:eastAsia="Times New Roman" w:cs="Arial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eastAsia="Times New Roman" w:cs="Arial"/>
                <w:b/>
                <w:color w:val="auto"/>
                <w:sz w:val="20"/>
                <w:szCs w:val="20"/>
              </w:rPr>
              <w:t>Укупно: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spacing w:after="0"/>
              <w:ind w:firstLine="0"/>
              <w:jc w:val="right"/>
              <w:rPr>
                <w:rFonts w:ascii="Calibri" w:hAnsi="Calibri" w:eastAsia="Times New Roman" w:cs="Arial"/>
                <w:b/>
                <w:color w:val="auto"/>
                <w:sz w:val="20"/>
                <w:szCs w:val="20"/>
                <w:lang w:val="sr-Cyrl-RS"/>
              </w:rPr>
            </w:pPr>
            <w:r>
              <w:rPr>
                <w:rFonts w:ascii="Calibri" w:hAnsi="Calibri" w:eastAsia="Times New Roman" w:cs="Arial"/>
                <w:b/>
                <w:color w:val="auto"/>
                <w:sz w:val="20"/>
                <w:szCs w:val="20"/>
                <w:lang w:val="sr-Cyrl-RS"/>
              </w:rPr>
              <w:t>1</w:t>
            </w:r>
            <w:r>
              <w:rPr>
                <w:rFonts w:ascii="Calibri" w:hAnsi="Calibri" w:eastAsia="Times New Roman" w:cs="Arial"/>
                <w:b/>
                <w:color w:val="auto"/>
                <w:sz w:val="20"/>
                <w:szCs w:val="20"/>
              </w:rPr>
              <w:t>.</w:t>
            </w:r>
            <w:r>
              <w:rPr>
                <w:rFonts w:ascii="Calibri" w:hAnsi="Calibri" w:eastAsia="Times New Roman" w:cs="Arial"/>
                <w:b/>
                <w:color w:val="auto"/>
                <w:sz w:val="20"/>
                <w:szCs w:val="20"/>
                <w:lang w:val="sr-Cyrl-RS"/>
              </w:rPr>
              <w:t>206</w:t>
            </w:r>
            <w:r>
              <w:rPr>
                <w:rFonts w:ascii="Calibri" w:hAnsi="Calibri" w:eastAsia="Times New Roman" w:cs="Arial"/>
                <w:b/>
                <w:color w:val="auto"/>
                <w:sz w:val="20"/>
                <w:szCs w:val="20"/>
              </w:rPr>
              <w:t>.</w:t>
            </w:r>
            <w:r>
              <w:rPr>
                <w:rFonts w:ascii="Calibri" w:hAnsi="Calibri" w:eastAsia="Times New Roman" w:cs="Arial"/>
                <w:b/>
                <w:color w:val="auto"/>
                <w:sz w:val="20"/>
                <w:szCs w:val="20"/>
                <w:lang w:val="sr-Cyrl-RS"/>
              </w:rPr>
              <w:t>8</w:t>
            </w:r>
            <w:r>
              <w:rPr>
                <w:rFonts w:ascii="Calibri" w:hAnsi="Calibri" w:eastAsia="Times New Roman" w:cs="Arial"/>
                <w:b/>
                <w:color w:val="auto"/>
                <w:sz w:val="20"/>
                <w:szCs w:val="20"/>
              </w:rPr>
              <w:t>11.671</w:t>
            </w:r>
          </w:p>
        </w:tc>
      </w:tr>
    </w:tbl>
    <w:p>
      <w:pPr>
        <w:ind w:firstLine="0"/>
      </w:pPr>
      <w:r>
        <w:rPr>
          <w:lang w:val="sr-Cyrl-RS"/>
        </w:rPr>
        <w:t xml:space="preserve">   </w:t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 xml:space="preserve"> “</w:t>
      </w:r>
    </w:p>
    <w:p>
      <w:pPr>
        <w:ind w:firstLine="0"/>
      </w:pPr>
    </w:p>
    <w:tbl>
      <w:tblPr>
        <w:tblStyle w:val="11"/>
        <w:tblpPr w:leftFromText="180" w:rightFromText="180" w:vertAnchor="text" w:horzAnchor="margin" w:tblpY="312"/>
        <w:tblW w:w="928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72"/>
        <w:gridCol w:w="1042"/>
        <w:gridCol w:w="1003"/>
        <w:gridCol w:w="805"/>
        <w:gridCol w:w="1720"/>
        <w:gridCol w:w="164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072" w:type="dxa"/>
            <w:shd w:val="clear" w:color="000000" w:fill="FFFFFF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bCs/>
              </w:rPr>
            </w:pPr>
            <w:r>
              <w:rPr>
                <w:rFonts w:eastAsia="Times New Roman" w:cs="Arial"/>
                <w:bCs/>
              </w:rPr>
              <w:t xml:space="preserve">СКУПШТИНА ОПШТИНЕ </w:t>
            </w:r>
            <w:r>
              <w:rPr>
                <w:rFonts w:eastAsia="Times New Roman" w:cs="Arial"/>
                <w:bCs/>
                <w:lang w:val="sr-Cyrl-RS"/>
              </w:rPr>
              <w:t>СРБОБРАН</w:t>
            </w:r>
          </w:p>
        </w:tc>
        <w:tc>
          <w:tcPr>
            <w:tcW w:w="2045" w:type="dxa"/>
            <w:gridSpan w:val="2"/>
            <w:shd w:val="clear" w:color="000000" w:fill="FFFFFF"/>
            <w:vAlign w:val="bottom"/>
          </w:tcPr>
          <w:p>
            <w:pPr>
              <w:spacing w:after="0"/>
              <w:ind w:firstLine="0"/>
              <w:jc w:val="left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 </w:t>
            </w:r>
          </w:p>
        </w:tc>
        <w:tc>
          <w:tcPr>
            <w:tcW w:w="805" w:type="dxa"/>
            <w:shd w:val="clear" w:color="000000" w:fill="FFFFFF"/>
            <w:vAlign w:val="bottom"/>
          </w:tcPr>
          <w:p>
            <w:pPr>
              <w:spacing w:after="0"/>
              <w:ind w:firstLine="0"/>
              <w:jc w:val="left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 </w:t>
            </w:r>
          </w:p>
        </w:tc>
        <w:tc>
          <w:tcPr>
            <w:tcW w:w="3366" w:type="dxa"/>
            <w:gridSpan w:val="2"/>
            <w:shd w:val="clear" w:color="000000" w:fill="FFFFFF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Председник Скупштине општине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072" w:type="dxa"/>
            <w:shd w:val="clear" w:color="000000" w:fill="FFFFFF"/>
            <w:vAlign w:val="bottom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bCs/>
              </w:rPr>
            </w:pPr>
            <w:r>
              <w:rPr>
                <w:rFonts w:eastAsia="Times New Roman" w:cs="Arial"/>
                <w:bCs/>
              </w:rPr>
              <w:t>Број:</w:t>
            </w:r>
          </w:p>
        </w:tc>
        <w:tc>
          <w:tcPr>
            <w:tcW w:w="1042" w:type="dxa"/>
            <w:shd w:val="clear" w:color="000000" w:fill="FFFFFF"/>
            <w:vAlign w:val="bottom"/>
          </w:tcPr>
          <w:p>
            <w:pPr>
              <w:spacing w:after="0"/>
              <w:ind w:firstLine="0"/>
              <w:jc w:val="center"/>
              <w:rPr>
                <w:rFonts w:eastAsia="Times New Roman" w:cs="Arial"/>
              </w:rPr>
            </w:pPr>
          </w:p>
        </w:tc>
        <w:tc>
          <w:tcPr>
            <w:tcW w:w="1003" w:type="dxa"/>
            <w:shd w:val="clear" w:color="000000" w:fill="FFFFFF"/>
            <w:vAlign w:val="bottom"/>
          </w:tcPr>
          <w:p>
            <w:pPr>
              <w:spacing w:after="0"/>
              <w:ind w:firstLine="0"/>
              <w:jc w:val="center"/>
              <w:rPr>
                <w:rFonts w:eastAsia="Times New Roman" w:cs="Arial"/>
              </w:rPr>
            </w:pPr>
          </w:p>
        </w:tc>
        <w:tc>
          <w:tcPr>
            <w:tcW w:w="805" w:type="dxa"/>
            <w:shd w:val="clear" w:color="000000" w:fill="FFFFFF"/>
            <w:vAlign w:val="bottom"/>
          </w:tcPr>
          <w:p>
            <w:pPr>
              <w:spacing w:after="0"/>
              <w:ind w:firstLine="0"/>
              <w:jc w:val="center"/>
              <w:rPr>
                <w:rFonts w:eastAsia="Times New Roman" w:cs="Arial"/>
              </w:rPr>
            </w:pPr>
          </w:p>
        </w:tc>
        <w:tc>
          <w:tcPr>
            <w:tcW w:w="3366" w:type="dxa"/>
            <w:gridSpan w:val="2"/>
            <w:shd w:val="clear" w:color="000000" w:fill="FFFFFF"/>
            <w:vAlign w:val="bottom"/>
          </w:tcPr>
          <w:p>
            <w:pPr>
              <w:spacing w:after="0"/>
              <w:ind w:firstLine="0"/>
              <w:jc w:val="center"/>
              <w:rPr>
                <w:rFonts w:eastAsia="Times New Roman" w:cs="Arial"/>
              </w:rPr>
            </w:pPr>
            <w:r>
              <w:rPr>
                <w:rFonts w:eastAsia="Times New Roman" w:cs="Arial"/>
                <w:bCs/>
              </w:rPr>
              <w:t>М</w:t>
            </w:r>
            <w:r>
              <w:rPr>
                <w:rFonts w:eastAsia="Times New Roman" w:cs="Arial"/>
                <w:bCs/>
                <w:lang w:val="sr-Cyrl-RS"/>
              </w:rPr>
              <w:t>илена Аларгић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" w:hRule="atLeast"/>
        </w:trPr>
        <w:tc>
          <w:tcPr>
            <w:tcW w:w="3072" w:type="dxa"/>
            <w:shd w:val="clear" w:color="000000" w:fill="FFFFFF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bCs/>
              </w:rPr>
            </w:pPr>
            <w:r>
              <w:rPr>
                <w:rFonts w:eastAsia="Times New Roman" w:cs="Arial"/>
                <w:bCs/>
              </w:rPr>
              <w:t>Дана:</w:t>
            </w:r>
          </w:p>
        </w:tc>
        <w:tc>
          <w:tcPr>
            <w:tcW w:w="1042" w:type="dxa"/>
            <w:shd w:val="clear" w:color="000000" w:fill="FFFFFF"/>
            <w:vAlign w:val="bottom"/>
          </w:tcPr>
          <w:p>
            <w:pPr>
              <w:spacing w:after="0"/>
              <w:ind w:firstLine="0"/>
              <w:jc w:val="left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</w:tcPr>
          <w:p>
            <w:pPr>
              <w:spacing w:after="0"/>
              <w:ind w:firstLine="0"/>
              <w:jc w:val="left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 </w:t>
            </w:r>
          </w:p>
        </w:tc>
        <w:tc>
          <w:tcPr>
            <w:tcW w:w="805" w:type="dxa"/>
            <w:shd w:val="clear" w:color="000000" w:fill="FFFFFF"/>
            <w:vAlign w:val="bottom"/>
          </w:tcPr>
          <w:p>
            <w:pPr>
              <w:spacing w:after="0"/>
              <w:ind w:firstLine="0"/>
              <w:jc w:val="left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 </w:t>
            </w:r>
          </w:p>
        </w:tc>
        <w:tc>
          <w:tcPr>
            <w:tcW w:w="1720" w:type="dxa"/>
            <w:shd w:val="clear" w:color="000000" w:fill="FFFFFF"/>
            <w:vAlign w:val="bottom"/>
          </w:tcPr>
          <w:p>
            <w:pPr>
              <w:spacing w:after="0"/>
              <w:ind w:firstLine="0"/>
              <w:jc w:val="left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 </w:t>
            </w:r>
          </w:p>
        </w:tc>
        <w:tc>
          <w:tcPr>
            <w:tcW w:w="1646" w:type="dxa"/>
            <w:shd w:val="clear" w:color="000000" w:fill="FFFFFF"/>
            <w:vAlign w:val="bottom"/>
          </w:tcPr>
          <w:p>
            <w:pPr>
              <w:spacing w:after="0"/>
              <w:ind w:firstLine="0"/>
              <w:jc w:val="left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3072" w:type="dxa"/>
            <w:shd w:val="clear" w:color="000000" w:fill="FFFFFF"/>
            <w:vAlign w:val="center"/>
          </w:tcPr>
          <w:p>
            <w:pPr>
              <w:spacing w:after="0"/>
              <w:ind w:firstLine="0"/>
              <w:jc w:val="left"/>
              <w:rPr>
                <w:rFonts w:eastAsia="Times New Roman" w:cs="Arial"/>
                <w:bCs/>
              </w:rPr>
            </w:pPr>
            <w:r>
              <w:rPr>
                <w:rFonts w:eastAsia="Times New Roman" w:cs="Arial"/>
                <w:bCs/>
                <w:lang w:val="sr-Cyrl-RS"/>
              </w:rPr>
              <w:t>Србобран</w:t>
            </w:r>
          </w:p>
        </w:tc>
        <w:tc>
          <w:tcPr>
            <w:tcW w:w="1042" w:type="dxa"/>
            <w:shd w:val="clear" w:color="000000" w:fill="FFFFFF"/>
            <w:vAlign w:val="bottom"/>
          </w:tcPr>
          <w:p>
            <w:pPr>
              <w:spacing w:after="0"/>
              <w:ind w:firstLine="0"/>
              <w:jc w:val="left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</w:tcPr>
          <w:p>
            <w:pPr>
              <w:spacing w:after="0"/>
              <w:ind w:firstLine="0"/>
              <w:jc w:val="left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 </w:t>
            </w:r>
          </w:p>
        </w:tc>
        <w:tc>
          <w:tcPr>
            <w:tcW w:w="805" w:type="dxa"/>
            <w:shd w:val="clear" w:color="000000" w:fill="FFFFFF"/>
            <w:vAlign w:val="bottom"/>
          </w:tcPr>
          <w:p>
            <w:pPr>
              <w:spacing w:after="0"/>
              <w:ind w:firstLine="0"/>
              <w:jc w:val="left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 </w:t>
            </w:r>
          </w:p>
        </w:tc>
        <w:tc>
          <w:tcPr>
            <w:tcW w:w="3366" w:type="dxa"/>
            <w:gridSpan w:val="2"/>
            <w:shd w:val="clear" w:color="000000" w:fill="FFFFFF"/>
            <w:vAlign w:val="center"/>
          </w:tcPr>
          <w:p>
            <w:pPr>
              <w:spacing w:after="0"/>
              <w:ind w:firstLine="0"/>
              <w:jc w:val="center"/>
              <w:rPr>
                <w:rFonts w:eastAsia="Times New Roman" w:cs="Arial"/>
                <w:bCs/>
              </w:rPr>
            </w:pPr>
          </w:p>
        </w:tc>
      </w:tr>
      <w:bookmarkEnd w:id="0"/>
    </w:tbl>
    <w:p>
      <w:pPr>
        <w:ind w:firstLine="0"/>
      </w:pPr>
      <w:bookmarkStart w:id="1" w:name="_GoBack"/>
      <w:bookmarkEnd w:id="1"/>
    </w:p>
    <w:sectPr>
      <w:footerReference r:id="rId3" w:type="default"/>
      <w:pgSz w:w="11906" w:h="16838"/>
      <w:pgMar w:top="1417" w:right="1417" w:bottom="1417" w:left="1417" w:header="708" w:footer="708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swiss"/>
    <w:pitch w:val="default"/>
    <w:sig w:usb0="E0002AFF" w:usb1="C0007843" w:usb2="00000009" w:usb3="00000000" w:csb0="400001FF" w:csb1="FFFF0000"/>
  </w:font>
  <w:font w:name="Calibri Light">
    <w:panose1 w:val="020F0302020204030204"/>
    <w:charset w:val="00"/>
    <w:family w:val="decorative"/>
    <w:pitch w:val="default"/>
    <w:sig w:usb0="A00002EF" w:usb1="4000207B" w:usb2="00000000" w:usb3="00000000" w:csb0="2000019F" w:csb1="00000000"/>
  </w:font>
  <w:font w:name="Tahoma">
    <w:panose1 w:val="020B0604030504040204"/>
    <w:charset w:val="00"/>
    <w:family w:val="decorative"/>
    <w:pitch w:val="default"/>
    <w:sig w:usb0="E1002EFF" w:usb1="C000605B" w:usb2="00000029" w:usb3="00000000" w:csb0="200101FF" w:csb1="20280000"/>
  </w:font>
  <w:font w:name="Arial Narrow">
    <w:panose1 w:val="020B0506020202030204"/>
    <w:charset w:val="00"/>
    <w:family w:val="decorative"/>
    <w:pitch w:val="default"/>
    <w:sig w:usb0="00000287" w:usb1="00000000" w:usb2="00000000" w:usb3="00000000" w:csb0="2000009F" w:csb1="DFD7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19352216"/>
    </w:sdtPr>
    <w:sdtContent>
      <w:p>
        <w:pPr>
          <w:pStyle w:val="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5</w:t>
        </w:r>
        <w:r>
          <w:fldChar w:fldCharType="end"/>
        </w:r>
      </w:p>
    </w:sdtContent>
  </w:sdt>
  <w:p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482745837">
    <w:nsid w:val="1CC61DED"/>
    <w:multiLevelType w:val="multilevel"/>
    <w:tmpl w:val="1CC61DED"/>
    <w:lvl w:ilvl="0" w:tentative="1">
      <w:start w:val="1"/>
      <w:numFmt w:val="upperRoman"/>
      <w:pStyle w:val="2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5420550">
    <w:nsid w:val="7EAF5806"/>
    <w:multiLevelType w:val="multilevel"/>
    <w:tmpl w:val="7EAF5806"/>
    <w:lvl w:ilvl="0" w:tentative="1">
      <w:start w:val="1"/>
      <w:numFmt w:val="bullet"/>
      <w:pStyle w:val="12"/>
      <w:lvlText w:val=""/>
      <w:lvlJc w:val="left"/>
      <w:pPr>
        <w:ind w:left="360" w:hanging="360"/>
      </w:pPr>
      <w:rPr>
        <w:rFonts w:hint="default" w:ascii="Symbol" w:hAnsi="Symbol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482745837"/>
  </w:num>
  <w:num w:numId="2">
    <w:abstractNumId w:val="212542055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hideSpellingError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A34309"/>
    <w:rsid w:val="00010EC4"/>
    <w:rsid w:val="00012FA6"/>
    <w:rsid w:val="00013A2B"/>
    <w:rsid w:val="000A4EA3"/>
    <w:rsid w:val="000D6797"/>
    <w:rsid w:val="00163D39"/>
    <w:rsid w:val="00193F1B"/>
    <w:rsid w:val="001C7BDD"/>
    <w:rsid w:val="001D2EC9"/>
    <w:rsid w:val="001F345D"/>
    <w:rsid w:val="00207DAB"/>
    <w:rsid w:val="002326F9"/>
    <w:rsid w:val="00233CE2"/>
    <w:rsid w:val="002512FB"/>
    <w:rsid w:val="00261C89"/>
    <w:rsid w:val="00262B18"/>
    <w:rsid w:val="002817C9"/>
    <w:rsid w:val="002F3D80"/>
    <w:rsid w:val="0032785B"/>
    <w:rsid w:val="00352A21"/>
    <w:rsid w:val="003A4EEF"/>
    <w:rsid w:val="003A6336"/>
    <w:rsid w:val="003B24DE"/>
    <w:rsid w:val="003D4548"/>
    <w:rsid w:val="004C7237"/>
    <w:rsid w:val="004F34BA"/>
    <w:rsid w:val="0052477B"/>
    <w:rsid w:val="00580A6C"/>
    <w:rsid w:val="005D5A7F"/>
    <w:rsid w:val="006342FD"/>
    <w:rsid w:val="0066197A"/>
    <w:rsid w:val="006A7A2B"/>
    <w:rsid w:val="006C0C1D"/>
    <w:rsid w:val="00720037"/>
    <w:rsid w:val="00767774"/>
    <w:rsid w:val="00776202"/>
    <w:rsid w:val="007A34A5"/>
    <w:rsid w:val="007F61C4"/>
    <w:rsid w:val="008166E5"/>
    <w:rsid w:val="00884C0A"/>
    <w:rsid w:val="008F0C3F"/>
    <w:rsid w:val="009357E3"/>
    <w:rsid w:val="009403A0"/>
    <w:rsid w:val="009A19A1"/>
    <w:rsid w:val="009F1DB8"/>
    <w:rsid w:val="00A41BF9"/>
    <w:rsid w:val="00AB481A"/>
    <w:rsid w:val="00B07AE5"/>
    <w:rsid w:val="00B23FDB"/>
    <w:rsid w:val="00B41681"/>
    <w:rsid w:val="00B45221"/>
    <w:rsid w:val="00BA649B"/>
    <w:rsid w:val="00C124A9"/>
    <w:rsid w:val="00C860BC"/>
    <w:rsid w:val="00C9299E"/>
    <w:rsid w:val="00CB0C33"/>
    <w:rsid w:val="00D24616"/>
    <w:rsid w:val="00D432E1"/>
    <w:rsid w:val="00D84C24"/>
    <w:rsid w:val="00DB0C81"/>
    <w:rsid w:val="00DC502D"/>
    <w:rsid w:val="00DE3E45"/>
    <w:rsid w:val="00E14225"/>
    <w:rsid w:val="00E56C5D"/>
    <w:rsid w:val="00E616DA"/>
    <w:rsid w:val="00E665A3"/>
    <w:rsid w:val="00E92C6C"/>
    <w:rsid w:val="00EF0E73"/>
    <w:rsid w:val="00F866ED"/>
    <w:rsid w:val="00F97174"/>
    <w:rsid w:val="00FA32BE"/>
    <w:rsid w:val="00FA6948"/>
    <w:rsid w:val="00FC0DFA"/>
    <w:rsid w:val="00FE26F1"/>
    <w:rsid w:val="01E77B5F"/>
    <w:rsid w:val="02521D68"/>
    <w:rsid w:val="02813892"/>
    <w:rsid w:val="07560B7A"/>
    <w:rsid w:val="076A51D4"/>
    <w:rsid w:val="07F0374B"/>
    <w:rsid w:val="08311A5A"/>
    <w:rsid w:val="0D494B87"/>
    <w:rsid w:val="0E132027"/>
    <w:rsid w:val="0E386B8C"/>
    <w:rsid w:val="0FDF2B51"/>
    <w:rsid w:val="14A34309"/>
    <w:rsid w:val="1505465E"/>
    <w:rsid w:val="1521574B"/>
    <w:rsid w:val="165533DF"/>
    <w:rsid w:val="172A084D"/>
    <w:rsid w:val="17734091"/>
    <w:rsid w:val="1814100A"/>
    <w:rsid w:val="18F20D92"/>
    <w:rsid w:val="19CE298A"/>
    <w:rsid w:val="19F17FF7"/>
    <w:rsid w:val="1A952642"/>
    <w:rsid w:val="1C9A3C64"/>
    <w:rsid w:val="1ED87B0B"/>
    <w:rsid w:val="237A568D"/>
    <w:rsid w:val="24A760DA"/>
    <w:rsid w:val="263F4B87"/>
    <w:rsid w:val="28E02A1F"/>
    <w:rsid w:val="293503DB"/>
    <w:rsid w:val="29E3487B"/>
    <w:rsid w:val="2B02700A"/>
    <w:rsid w:val="2D6527A0"/>
    <w:rsid w:val="2D93460C"/>
    <w:rsid w:val="2DC70EBE"/>
    <w:rsid w:val="2EE41CE3"/>
    <w:rsid w:val="2F91747A"/>
    <w:rsid w:val="30C571C9"/>
    <w:rsid w:val="31914B35"/>
    <w:rsid w:val="322B62BF"/>
    <w:rsid w:val="33634356"/>
    <w:rsid w:val="33A22934"/>
    <w:rsid w:val="35600242"/>
    <w:rsid w:val="363F594A"/>
    <w:rsid w:val="366C1874"/>
    <w:rsid w:val="372300F3"/>
    <w:rsid w:val="372F7A95"/>
    <w:rsid w:val="37A01A8E"/>
    <w:rsid w:val="37C82384"/>
    <w:rsid w:val="390C31FF"/>
    <w:rsid w:val="393D32E4"/>
    <w:rsid w:val="3B014F47"/>
    <w:rsid w:val="3CE8240D"/>
    <w:rsid w:val="3DAD6CE8"/>
    <w:rsid w:val="3ED61422"/>
    <w:rsid w:val="3F144788"/>
    <w:rsid w:val="3FF03088"/>
    <w:rsid w:val="4115538C"/>
    <w:rsid w:val="42ED435A"/>
    <w:rsid w:val="475A780A"/>
    <w:rsid w:val="48744698"/>
    <w:rsid w:val="49FE22DE"/>
    <w:rsid w:val="4B9C30E1"/>
    <w:rsid w:val="4C19262F"/>
    <w:rsid w:val="4C751FA3"/>
    <w:rsid w:val="4CF47BF4"/>
    <w:rsid w:val="4EE372E6"/>
    <w:rsid w:val="4F3067AE"/>
    <w:rsid w:val="4F6417C7"/>
    <w:rsid w:val="4F914027"/>
    <w:rsid w:val="51947694"/>
    <w:rsid w:val="52134131"/>
    <w:rsid w:val="54396C6F"/>
    <w:rsid w:val="544F398B"/>
    <w:rsid w:val="5468495B"/>
    <w:rsid w:val="5569171D"/>
    <w:rsid w:val="568D369A"/>
    <w:rsid w:val="568E2998"/>
    <w:rsid w:val="59BE409E"/>
    <w:rsid w:val="5B4F25C8"/>
    <w:rsid w:val="5CEC6AD5"/>
    <w:rsid w:val="5D4E3385"/>
    <w:rsid w:val="5E1B380C"/>
    <w:rsid w:val="5F0162CB"/>
    <w:rsid w:val="5F0F4ABB"/>
    <w:rsid w:val="60DE599D"/>
    <w:rsid w:val="6402052C"/>
    <w:rsid w:val="65614EB6"/>
    <w:rsid w:val="669A72F3"/>
    <w:rsid w:val="67EC2DFF"/>
    <w:rsid w:val="680A744F"/>
    <w:rsid w:val="69692532"/>
    <w:rsid w:val="69EE3F94"/>
    <w:rsid w:val="6A5A7270"/>
    <w:rsid w:val="6A7B7644"/>
    <w:rsid w:val="6A962730"/>
    <w:rsid w:val="6AF9691E"/>
    <w:rsid w:val="6CD64881"/>
    <w:rsid w:val="6CF41BAE"/>
    <w:rsid w:val="6E9E1CBD"/>
    <w:rsid w:val="6F3B159D"/>
    <w:rsid w:val="6FAB23D2"/>
    <w:rsid w:val="72194849"/>
    <w:rsid w:val="728748FF"/>
    <w:rsid w:val="72A72555"/>
    <w:rsid w:val="72C73975"/>
    <w:rsid w:val="74C74A94"/>
    <w:rsid w:val="751047D1"/>
    <w:rsid w:val="78FA511E"/>
    <w:rsid w:val="79A92CA7"/>
    <w:rsid w:val="7A3906F5"/>
    <w:rsid w:val="7A85231B"/>
    <w:rsid w:val="7AE60C3F"/>
    <w:rsid w:val="7C3E6666"/>
    <w:rsid w:val="7C476471"/>
    <w:rsid w:val="7C584E3D"/>
    <w:rsid w:val="7EDA462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20" w:line="240" w:lineRule="auto"/>
      <w:ind w:firstLine="567"/>
      <w:jc w:val="both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480" w:after="0"/>
      <w:outlineLvl w:val="0"/>
    </w:pPr>
    <w:rPr>
      <w:rFonts w:asciiTheme="majorHAnsi" w:hAnsiTheme="majorHAnsi" w:eastAsiaTheme="majorEastAsia" w:cstheme="majorBidi"/>
      <w:b/>
      <w:bCs/>
      <w:color w:val="2E75B6" w:themeColor="accent1" w:themeShade="BF"/>
      <w:sz w:val="28"/>
      <w:szCs w:val="2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5B9BD5" w:themeColor="accent1"/>
      <w14:textFill>
        <w14:solidFill>
          <w14:schemeClr w14:val="accent1"/>
        </w14:solidFill>
      </w14:textFill>
    </w:rPr>
  </w:style>
  <w:style w:type="character" w:default="1" w:styleId="9">
    <w:name w:val="Default Paragraph Font"/>
    <w:unhideWhenUsed/>
    <w:qFormat/>
    <w:uiPriority w:val="1"/>
  </w:style>
  <w:style w:type="table" w:default="1" w:styleId="11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5"/>
    <w:qFormat/>
    <w:uiPriority w:val="0"/>
    <w:pPr>
      <w:spacing w:after="0"/>
    </w:pPr>
    <w:rPr>
      <w:rFonts w:ascii="Tahoma" w:hAnsi="Tahoma" w:cs="Tahoma"/>
      <w:sz w:val="16"/>
      <w:szCs w:val="16"/>
    </w:rPr>
  </w:style>
  <w:style w:type="paragraph" w:styleId="6">
    <w:name w:val="footer"/>
    <w:basedOn w:val="1"/>
    <w:qFormat/>
    <w:uiPriority w:val="0"/>
    <w:pPr>
      <w:tabs>
        <w:tab w:val="center" w:pos="4536"/>
        <w:tab w:val="right" w:pos="9072"/>
      </w:tabs>
      <w:spacing w:after="0"/>
    </w:pPr>
  </w:style>
  <w:style w:type="paragraph" w:styleId="7">
    <w:name w:val="Subtitle"/>
    <w:basedOn w:val="1"/>
    <w:next w:val="1"/>
    <w:qFormat/>
    <w:uiPriority w:val="0"/>
    <w:pPr>
      <w:ind w:firstLine="708"/>
    </w:pPr>
    <w:rPr>
      <w:rFonts w:asciiTheme="majorHAnsi" w:hAnsiTheme="majorHAnsi" w:eastAsiaTheme="majorEastAsia" w:cstheme="majorBidi"/>
      <w:i/>
      <w:iCs/>
      <w:color w:val="5B9BD5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8">
    <w:name w:val="Title"/>
    <w:basedOn w:val="1"/>
    <w:next w:val="1"/>
    <w:qFormat/>
    <w:uiPriority w:val="0"/>
    <w:pPr>
      <w:pBdr>
        <w:bottom w:val="single" w:color="5B9BD5" w:themeColor="accent1" w:sz="8" w:space="4"/>
      </w:pBdr>
      <w:spacing w:after="300" w:line="360" w:lineRule="auto"/>
      <w:contextualSpacing/>
      <w:jc w:val="center"/>
    </w:pPr>
    <w:rPr>
      <w:rFonts w:asciiTheme="majorHAnsi" w:hAnsiTheme="majorHAnsi" w:eastAsiaTheme="majorEastAsia" w:cstheme="majorBidi"/>
      <w:color w:val="333F50" w:themeColor="text2" w:themeShade="BF"/>
      <w:spacing w:val="5"/>
      <w:kern w:val="28"/>
      <w:sz w:val="48"/>
      <w:szCs w:val="52"/>
    </w:rPr>
  </w:style>
  <w:style w:type="character" w:styleId="10">
    <w:name w:val="Strong"/>
    <w:basedOn w:val="9"/>
    <w:qFormat/>
    <w:uiPriority w:val="0"/>
    <w:rPr>
      <w:b/>
      <w:bCs/>
    </w:rPr>
  </w:style>
  <w:style w:type="paragraph" w:customStyle="1" w:styleId="12">
    <w:name w:val="List Paragraph1"/>
    <w:basedOn w:val="1"/>
    <w:qFormat/>
    <w:uiPriority w:val="34"/>
    <w:pPr>
      <w:numPr>
        <w:ilvl w:val="0"/>
        <w:numId w:val="2"/>
      </w:numPr>
      <w:contextualSpacing/>
    </w:pPr>
  </w:style>
  <w:style w:type="paragraph" w:customStyle="1" w:styleId="13">
    <w:name w:val="Podpoglavlje"/>
    <w:basedOn w:val="3"/>
    <w:qFormat/>
    <w:uiPriority w:val="0"/>
    <w:pPr>
      <w:spacing w:before="240" w:line="360" w:lineRule="auto"/>
      <w:ind w:left="924" w:hanging="567"/>
    </w:pPr>
  </w:style>
  <w:style w:type="character" w:customStyle="1" w:styleId="14">
    <w:name w:val="Subtle Emphasis1"/>
    <w:basedOn w:val="9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">
    <w:name w:val="Balloon Text Char"/>
    <w:basedOn w:val="9"/>
    <w:link w:val="5"/>
    <w:qFormat/>
    <w:uiPriority w:val="0"/>
    <w:rPr>
      <w:rFonts w:ascii="Tahoma" w:hAnsi="Tahoma" w:cs="Tahoma" w:eastAsiaTheme="minorHAnsi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1255</Words>
  <Characters>8591</Characters>
  <Lines>71</Lines>
  <Paragraphs>19</Paragraphs>
  <TotalTime>0</TotalTime>
  <ScaleCrop>false</ScaleCrop>
  <LinksUpToDate>false</LinksUpToDate>
  <CharactersWithSpaces>9827</CharactersWithSpaces>
  <Application>WPS Office_10.1.0.5452_F1E327BC-269C-435d-A152-05C5408002CA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2021-03-24T08:05:00Z</dcterms:created>
  <dc:creator>Korisnik</dc:creator>
  <cp:lastModifiedBy>Korisnik</cp:lastModifiedBy>
  <cp:lastPrinted>2021-03-24T08:03:00Z</cp:lastPrinted>
  <dcterms:modified xsi:type="dcterms:W3CDTF">2021-03-29T08:47:06Z</dcterms:modified>
  <dc:title>Средњорочни програм уређивања грађевинског земљишта општине Србобран</dc:title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2057-10.1.0.5452</vt:lpwstr>
  </property>
</Properties>
</file>