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Аутономна Покрајина Војводина</w:t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Општина Србобран</w:t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ОПШТИНСКА УПРАВА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Одељњње за јавне службе, управу, заједничке послове и људске ресурсе</w:t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 xml:space="preserve">Дана: </w:t>
      </w:r>
      <w:r>
        <w:rPr>
          <w:rFonts w:eastAsia="Times New Roman" w:cs="Times New Roman"/>
          <w:b/>
          <w:bCs/>
          <w:sz w:val="24"/>
          <w:lang w:val="en-US"/>
        </w:rPr>
        <w:t>05</w:t>
      </w:r>
      <w:r>
        <w:rPr>
          <w:rFonts w:eastAsia="Times New Roman" w:cs="Times New Roman"/>
          <w:b/>
          <w:bCs/>
          <w:sz w:val="24"/>
          <w:lang w:val="sr-CS"/>
        </w:rPr>
        <w:t>.</w:t>
      </w:r>
      <w:r>
        <w:rPr>
          <w:rFonts w:eastAsia="Times New Roman" w:cs="Times New Roman"/>
          <w:b/>
          <w:bCs/>
          <w:sz w:val="24"/>
          <w:lang w:val="en-US"/>
        </w:rPr>
        <w:t xml:space="preserve"> 09</w:t>
      </w:r>
      <w:r>
        <w:rPr>
          <w:rFonts w:eastAsia="Times New Roman" w:cs="Times New Roman"/>
          <w:b/>
          <w:bCs/>
          <w:sz w:val="24"/>
          <w:lang w:val="sr-CS"/>
        </w:rPr>
        <w:t>.</w:t>
      </w:r>
      <w:r>
        <w:rPr>
          <w:rFonts w:eastAsia="Times New Roman" w:cs="Times New Roman"/>
          <w:b/>
          <w:bCs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lang w:val="ru-RU"/>
        </w:rPr>
        <w:t>201</w:t>
      </w:r>
      <w:r>
        <w:rPr>
          <w:rFonts w:eastAsia="Times New Roman" w:cs="Times New Roman"/>
          <w:b/>
          <w:bCs/>
          <w:sz w:val="24"/>
          <w:lang w:val="en-US"/>
        </w:rPr>
        <w:t>8</w:t>
      </w:r>
      <w:r>
        <w:rPr>
          <w:rFonts w:eastAsia="Times New Roman" w:cs="Times New Roman"/>
          <w:b/>
          <w:bCs/>
          <w:sz w:val="24"/>
          <w:lang w:val="ru-RU"/>
        </w:rPr>
        <w:t>.</w:t>
      </w:r>
      <w:r>
        <w:rPr>
          <w:rFonts w:eastAsia="Times New Roman" w:cs="Times New Roman"/>
          <w:b/>
          <w:bCs/>
          <w:sz w:val="24"/>
          <w:lang w:val="sr-CS"/>
        </w:rPr>
        <w:t xml:space="preserve"> године</w:t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21480 Србобран, Трг Слободе 2</w:t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sz w:val="24"/>
          <w:lang w:val="sr-CS"/>
        </w:rPr>
        <w:t>021/730-020</w:t>
      </w:r>
    </w:p>
    <w:p>
      <w:pPr>
        <w:pStyle w:val="Normal"/>
        <w:tabs>
          <w:tab w:val="center" w:pos="7200" w:leader="none"/>
        </w:tabs>
        <w:spacing w:lineRule="auto" w:line="240" w:before="0" w:after="120"/>
        <w:jc w:val="both"/>
        <w:rPr/>
      </w:pPr>
      <w:r>
        <w:rPr>
          <w:rFonts w:eastAsia="Times New Roman" w:cs="Times New Roman"/>
          <w:bCs/>
          <w:sz w:val="24"/>
          <w:lang w:val="fr-FR"/>
        </w:rPr>
        <w:t>E</w:t>
      </w:r>
      <w:r>
        <w:rPr>
          <w:rFonts w:eastAsia="Times New Roman" w:cs="Times New Roman"/>
          <w:bCs/>
          <w:sz w:val="24"/>
        </w:rPr>
        <w:t>-</w:t>
      </w:r>
      <w:r>
        <w:rPr>
          <w:rFonts w:eastAsia="Times New Roman" w:cs="Times New Roman"/>
          <w:bCs/>
          <w:sz w:val="24"/>
          <w:lang w:val="fr-FR"/>
        </w:rPr>
        <w:t>mail</w:t>
      </w:r>
      <w:r>
        <w:rPr>
          <w:rFonts w:eastAsia="Times New Roman" w:cs="Times New Roman"/>
          <w:bCs/>
          <w:sz w:val="24"/>
        </w:rPr>
        <w:t xml:space="preserve">: </w:t>
      </w:r>
      <w:hyperlink r:id="rId2">
        <w:r>
          <w:rPr>
            <w:rStyle w:val="InternetLink"/>
            <w:rFonts w:eastAsia="Times New Roman" w:cs="Times New Roman"/>
            <w:bCs/>
            <w:sz w:val="24"/>
            <w:lang w:val="en-US"/>
          </w:rPr>
          <w:t>ljiljana.belic@srbobran48.rs</w:t>
        </w:r>
      </w:hyperlink>
    </w:p>
    <w:p>
      <w:pPr>
        <w:pStyle w:val="Normal"/>
        <w:tabs>
          <w:tab w:val="center" w:pos="7200" w:leader="none"/>
        </w:tabs>
        <w:spacing w:lineRule="auto" w:line="240" w:before="0" w:after="12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cs="Times New Roman"/>
          <w:bCs/>
          <w:sz w:val="24"/>
          <w:lang w:val="en-US"/>
        </w:rPr>
      </w:r>
    </w:p>
    <w:p>
      <w:pPr>
        <w:pStyle w:val="Normal"/>
        <w:tabs>
          <w:tab w:val="center" w:pos="7200" w:leader="none"/>
        </w:tabs>
        <w:spacing w:lineRule="auto" w:line="240" w:before="0" w:after="12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cs="Times New Roman"/>
          <w:bCs/>
          <w:sz w:val="24"/>
          <w:lang w:val="en-US"/>
        </w:rPr>
      </w:r>
    </w:p>
    <w:p>
      <w:pPr>
        <w:pStyle w:val="Normal"/>
        <w:tabs>
          <w:tab w:val="center" w:pos="7200" w:leader="none"/>
        </w:tabs>
        <w:spacing w:lineRule="auto" w:line="240" w:before="0" w:after="120"/>
        <w:jc w:val="center"/>
        <w:rPr>
          <w:rFonts w:ascii="Calibri" w:hAnsi="Calibri" w:eastAsia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ГОДИШЊИ ПЛАН НАДЗОРА ПРОСВЕТНОГ ИНСПЕКТОРА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enter" w:pos="7200" w:leader="none"/>
        </w:tabs>
        <w:spacing w:lineRule="auto" w:line="240" w:before="0" w:after="12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val="en-US"/>
        </w:rPr>
        <w:t>ЗА РАДНУ 2018/2019 ГОДИНУ</w:t>
      </w:r>
    </w:p>
    <w:p>
      <w:pPr>
        <w:pStyle w:val="Heading1"/>
        <w:spacing w:before="74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УВОД</w:t>
      </w:r>
    </w:p>
    <w:p>
      <w:pPr>
        <w:pStyle w:val="TextBody"/>
        <w:ind w:left="991" w:right="1065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Министарство просвете,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науке </w:t>
      </w:r>
      <w:r>
        <w:rPr>
          <w:rFonts w:ascii="Times New Roman" w:hAnsi="Times New Roman"/>
          <w:color w:val="000000"/>
          <w:sz w:val="26"/>
          <w:szCs w:val="26"/>
        </w:rPr>
        <w:t>и технолошког развоја, преко просветних инспектора врши надзор над применом Закона о основама система образовања и васпитања (“Службени гласник РС”,</w:t>
      </w:r>
      <w:r>
        <w:rPr>
          <w:rFonts w:ascii="Times New Roman" w:hAnsi="Times New Roman"/>
          <w:color w:val="000000"/>
          <w:sz w:val="26"/>
          <w:szCs w:val="26"/>
          <w:u w:val="single" w:color="0000FF"/>
        </w:rPr>
        <w:t>88/17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  <w:u w:val="single" w:color="0000FF"/>
        </w:rPr>
        <w:t>27/</w:t>
      </w:r>
      <w:r>
        <w:rPr>
          <w:rFonts w:ascii="Times New Roman" w:hAnsi="Times New Roman"/>
          <w:color w:val="000000"/>
          <w:sz w:val="26"/>
          <w:szCs w:val="26"/>
        </w:rPr>
        <w:t xml:space="preserve">18 - други закон и </w:t>
      </w:r>
      <w:r>
        <w:rPr>
          <w:rFonts w:ascii="Times New Roman" w:hAnsi="Times New Roman"/>
          <w:color w:val="000000"/>
          <w:sz w:val="26"/>
          <w:szCs w:val="26"/>
          <w:u w:val="single" w:color="0000FF"/>
        </w:rPr>
        <w:t>27/</w:t>
      </w:r>
      <w:r>
        <w:rPr>
          <w:rFonts w:ascii="Times New Roman" w:hAnsi="Times New Roman"/>
          <w:color w:val="000000"/>
          <w:sz w:val="26"/>
          <w:szCs w:val="26"/>
        </w:rPr>
        <w:t>18 - други закон, у даљем тексту: Закон), прописа донетих на основу овог Закона, Закона о предшколском васпитању и образовању („Службени гласник РС”, бр. 18/10 и 101/17), Закона о дуалном образовању („Службени гласник РС”, број 101/17), Закона о образовању одраслих („Службени гласник РС“, бр. 55/13 и 88/17), Закона о ученичком и студентском стандарду („Службени гласник РС”, бр. 18/10 и 55/13), Закона о високом образовању („Службени гласник РС”, број 88/17), Закона о уџбеницима („Службени гласник РС“, број 68/15), Закона о заштити становништва од изложености дуванском диму („Службени гласник РС“, број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30/10).</w:t>
      </w:r>
    </w:p>
    <w:p>
      <w:pPr>
        <w:pStyle w:val="TextBody"/>
        <w:ind w:left="991" w:right="1065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План рада просветне инспекције у школској 2018/19 години усмерен је ка остваривању циљева као што су: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152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Обављање образовно васпитне делатности у складу са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>законом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Усклађеност општих аката установе са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законом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Обезбеђивање легитимности рада установе преко легално изабраних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органа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Извештавање о раду свих учесника васпитно образовног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>процеса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Планирање и програмирање свих видова образовно васпитног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процеса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Повећање обухваћености деце/ученика у васпитно образовном процесу и смањење осипања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деце/ученика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Повећање заштите права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деце/ученика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Вођење евиденције и издавање јавних исправа на прописаним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обрасцима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Коришћење одобрених уџбеника и другог дидактичког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материјала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Смањење незаконитих пријема у радни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однос</w:t>
      </w:r>
    </w:p>
    <w:p>
      <w:pPr>
        <w:pStyle w:val="ListParagraph"/>
        <w:numPr>
          <w:ilvl w:val="0"/>
          <w:numId w:val="2"/>
        </w:numPr>
        <w:tabs>
          <w:tab w:val="left" w:pos="1712" w:leader="none"/>
          <w:tab w:val="left" w:pos="1713" w:leader="none"/>
        </w:tabs>
        <w:spacing w:lineRule="exact" w:line="293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Заштита од изложености дуванском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диму</w:t>
      </w:r>
    </w:p>
    <w:p>
      <w:pPr>
        <w:pStyle w:val="TextBody"/>
        <w:spacing w:before="151" w:after="0"/>
        <w:ind w:left="991" w:right="1063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План инспекцијског надзора у току радне/школске 2018/19. године спроводиће као поверене послове 134 просветна инспектора у органима локалне самоуправе и аутономне покрајине Војводине и 16 просветних инспектора Министарства, употребом метода и техника како је прописано Законом о инспекцијском надзору ("Службени гласник РС", бр. 36/2015) и Законом о просветној инспекцији ("Службени гласник РС", бр. 27/2018), који су темељ за поступање просветне инспекције уз обавезно коришћење контролних листа у редовном инспекцијском надзору.</w:t>
      </w:r>
    </w:p>
    <w:p>
      <w:pPr>
        <w:pStyle w:val="TextBody"/>
        <w:spacing w:before="147" w:after="0"/>
        <w:ind w:left="991" w:right="106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Ванредни инспекцијски надзор обављаће се у складу са чланом 6. став 3. Закона о инспекцијском надзору а у складу са процењеним ризиком. Процена ризика вршиће се сходно одредбама Правилника о посебним елементима процене ризика, учесталости вршења инспекцијског на</w:t>
      </w:r>
      <w:r>
        <w:rPr>
          <w:rFonts w:ascii="Times New Roman" w:hAnsi="Times New Roman"/>
          <w:sz w:val="26"/>
          <w:szCs w:val="26"/>
        </w:rPr>
        <w:t>дзора на основу процене ризика и посебним елементима плана инспекцијског надзора у области образовања и васпитања ("Службени гласник РС", бр. 63/2018).</w:t>
      </w:r>
    </w:p>
    <w:p>
      <w:pPr>
        <w:pStyle w:val="TextBody"/>
        <w:spacing w:lineRule="auto" w:line="235" w:before="156" w:after="0"/>
        <w:ind w:left="991" w:right="10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План инспекцијског надзора усвојен је на седници Координационе комисије за инспекцијски надзор, одржаној 18.09.2018. године, </w:t>
      </w:r>
      <w:r>
        <w:rPr>
          <w:rFonts w:ascii="Times New Roman" w:hAnsi="Times New Roman"/>
          <w:sz w:val="26"/>
          <w:szCs w:val="26"/>
        </w:rPr>
        <w:t>на нивоу републике, а на нивоу јединице локалне самоуправе 11.12.2018. године.</w:t>
      </w:r>
    </w:p>
    <w:tbl>
      <w:tblPr>
        <w:tblW w:w="10275" w:type="dxa"/>
        <w:jc w:val="left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340"/>
        <w:gridCol w:w="1560"/>
        <w:gridCol w:w="825"/>
        <w:gridCol w:w="764"/>
        <w:gridCol w:w="1591"/>
        <w:gridCol w:w="1591"/>
        <w:gridCol w:w="1530"/>
        <w:gridCol w:w="73"/>
      </w:tblGrid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/>
              </w:rPr>
              <w:t>Град/Општина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sr-CS"/>
              </w:rPr>
              <w:t>Србобран/Србобран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/>
              </w:rPr>
              <w:t>Име и презиме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sz w:val="24"/>
                <w:szCs w:val="24"/>
                <w:lang w:val="sr-CS"/>
              </w:rPr>
              <w:t>Љиљана Белић Здравић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Адреса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val="en-US"/>
              </w:rPr>
              <w:t>ОПШТИНСКА УПРАВА СРБОБРАН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Број легитимације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/>
              </w:rPr>
              <w:t>Број редовних надзора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sr-CS"/>
              </w:rPr>
              <w:t>6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>Преглед надзираних субјеката у којима ће се вршити редовни надзор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Ош”Вук караџић”</w:t>
            </w:r>
          </w:p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Србобран</w:t>
            </w:r>
          </w:p>
        </w:tc>
        <w:tc>
          <w:tcPr>
            <w:tcW w:w="1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Ош”Ј.Ј.ЗМАЈ”</w:t>
            </w:r>
          </w:p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Србобран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Ош”Петар Драпшин”</w:t>
            </w:r>
          </w:p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Турија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Ош”Жарко Зрењанин Уча”Надаљ</w:t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Гимназија и економска школа”Светозар Милетић”</w:t>
            </w:r>
          </w:p>
          <w:p>
            <w:pPr>
              <w:pStyle w:val="Default"/>
              <w:spacing w:lineRule="atLeast" w:line="10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Србобран</w:t>
            </w:r>
          </w:p>
        </w:tc>
      </w:tr>
      <w:tr>
        <w:trPr>
          <w:trHeight w:val="190" w:hRule="atLeast"/>
        </w:trPr>
        <w:tc>
          <w:tcPr>
            <w:tcW w:w="2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Предшколска установа”Радост”Србобран”</w:t>
            </w:r>
          </w:p>
        </w:tc>
        <w:tc>
          <w:tcPr>
            <w:tcW w:w="1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2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Период у коме ће се вршити редовни надзор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01.10.2018 </w:t>
              <w:noBreakHyphen/>
              <w:t xml:space="preserve"> 15.12.2018. године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Очекивани број ванредних надзора и период у коме ће се вршити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Очекивани број надзора</w:t>
            </w:r>
          </w:p>
        </w:tc>
        <w:tc>
          <w:tcPr>
            <w:tcW w:w="5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2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Calibri" w:hAnsi="Calibri" w:eastAsia="Times New Roman"/>
                <w:lang w:val="sr-C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5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01.09.2018 </w:t>
              <w:noBreakHyphen/>
              <w:t xml:space="preserve"> 01.09.2019. године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Облици надзора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Default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теренски, канцеларијски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Планиране мере и активности превентивног деловања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both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Спречавање настанка незаконитости путем информисања установа и странака.</w:t>
            </w:r>
          </w:p>
          <w:p>
            <w:pPr>
              <w:pStyle w:val="Default"/>
              <w:spacing w:lineRule="atLeast" w:line="100" w:before="0" w:after="0"/>
              <w:jc w:val="both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Пружање стручне и саветодавне подршке установама или лицу које остварује одређена права у установи.</w:t>
            </w:r>
          </w:p>
          <w:p>
            <w:pPr>
              <w:pStyle w:val="Default"/>
              <w:spacing w:lineRule="atLeast" w:line="100" w:before="0" w:after="0"/>
              <w:jc w:val="both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Службене саветодавне посете установама.</w:t>
            </w:r>
          </w:p>
          <w:p>
            <w:pPr>
              <w:pStyle w:val="Default"/>
              <w:spacing w:lineRule="atLeast" w:line="100" w:before="0" w:after="0"/>
              <w:jc w:val="both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Праћење и анализа стања у области инспекцијског надзора над радом установа, као и процена ризика.</w:t>
            </w:r>
          </w:p>
          <w:p>
            <w:pPr>
              <w:pStyle w:val="Default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Предузимање превентивних инспекцијских надзора, тј. инспекцијских надзора усредсређених на спречавање настанка вероватних штетних последица.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Планиране мере и активности за спречавање делатности нерегистрованих субјекта</w:t>
            </w:r>
          </w:p>
        </w:tc>
        <w:tc>
          <w:tcPr>
            <w:tcW w:w="7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spacing w:lineRule="atLeast" w:line="100" w:before="0" w:after="0"/>
              <w:jc w:val="both"/>
              <w:rPr>
                <w:rFonts w:ascii="Calibri" w:hAnsi="Calibri" w:eastAsia="Times New Roman"/>
              </w:rPr>
            </w:pPr>
            <w:r>
              <w:rPr>
                <w:rFonts w:eastAsia="Times New Roman"/>
              </w:rPr>
              <w:t>Саветодавно и едукативно деловање према нелегалним субјектима, професионалан и етички приступ,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субјекта.</w:t>
            </w:r>
          </w:p>
          <w:p>
            <w:pPr>
              <w:pStyle w:val="Default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Сарадња инспекције са другим органима у циљу међусобног обавештавања, размене података, пружање помоћи и заједничке мере и радње од значаја за инспекцијски надзор.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</w:tbl>
    <w:p>
      <w:pPr>
        <w:pStyle w:val="Default"/>
        <w:spacing w:lineRule="atLeast" w:line="100" w:before="0" w:after="0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Default"/>
        <w:spacing w:lineRule="atLeast" w:line="100" w:before="0" w:after="0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Default"/>
        <w:spacing w:lineRule="atLeast" w:line="100" w:before="0" w:after="0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Default"/>
        <w:spacing w:lineRule="atLeast" w:line="100" w:before="0" w:after="0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Default"/>
        <w:spacing w:lineRule="atLeast" w:line="100" w:before="0" w:after="0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Default"/>
        <w:spacing w:lineRule="atLeast" w:line="100" w:before="0" w:after="0"/>
        <w:rPr/>
      </w:pPr>
      <w:r>
        <w:rPr/>
      </w:r>
    </w:p>
    <w:sectPr>
      <w:type w:val="nextPage"/>
      <w:pgSz w:w="11906" w:h="16838"/>
      <w:pgMar w:left="420" w:right="340" w:header="0" w:top="13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5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072"/>
        </w:tabs>
        <w:ind w:left="207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432"/>
        </w:tabs>
        <w:ind w:left="243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152"/>
        </w:tabs>
        <w:ind w:left="315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512"/>
        </w:tabs>
        <w:ind w:left="351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232"/>
        </w:tabs>
        <w:ind w:left="423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592"/>
        </w:tabs>
        <w:ind w:left="4592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0"/>
      <w:szCs w:val="22"/>
      <w:lang w:val="en-US" w:eastAsia="en-US" w:bidi="en-US"/>
    </w:rPr>
  </w:style>
  <w:style w:type="paragraph" w:styleId="Heading1">
    <w:name w:val="Heading 1"/>
    <w:basedOn w:val="Normal"/>
    <w:qFormat/>
    <w:pPr>
      <w:keepNext w:val="true"/>
      <w:widowControl w:val="false"/>
      <w:bidi w:val="0"/>
      <w:spacing w:lineRule="atLeast" w:line="100" w:before="240" w:after="60"/>
      <w:ind w:left="0" w:right="0" w:hanging="0"/>
      <w:jc w:val="left"/>
    </w:pPr>
    <w:rPr>
      <w:rFonts w:ascii="Cambria" w:hAnsi="Cambria" w:eastAsia="Times New Roman" w:cs="Times New Roman"/>
      <w:b/>
      <w:bCs/>
      <w:color w:val="00000A"/>
      <w:kern w:val="0"/>
      <w:sz w:val="32"/>
      <w:szCs w:val="32"/>
      <w:lang w:val="en-US" w:eastAsia="en-US" w:bidi="en-US"/>
    </w:rPr>
  </w:style>
  <w:style w:type="paragraph" w:styleId="Heading2">
    <w:name w:val="Heading 2"/>
    <w:basedOn w:val="Normal"/>
    <w:qFormat/>
    <w:pPr>
      <w:widowControl w:val="false"/>
      <w:numPr>
        <w:ilvl w:val="1"/>
        <w:numId w:val="1"/>
      </w:numPr>
      <w:bidi w:val="0"/>
      <w:spacing w:lineRule="atLeast" w:line="100" w:before="28" w:after="10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kern w:val="0"/>
      <w:sz w:val="36"/>
      <w:szCs w:val="36"/>
      <w:lang w:val="en-US" w:eastAsia="en-US" w:bidi="en-US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InternetLink">
    <w:name w:val="Internet Link"/>
    <w:uiPriority w:val="99"/>
    <w:unhideWhenUsed/>
    <w:rPr>
      <w:color w:val="0000FF"/>
      <w:u w:val="single"/>
      <w:lang w:val="en-US" w:eastAsia="en-US" w:bidi="en-US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character" w:styleId="HeaderChar">
    <w:name w:val="Header Char"/>
    <w:basedOn w:val="DefaultParagraphFont"/>
    <w:qFormat/>
    <w:rPr>
      <w:rFonts w:ascii="Tahoma" w:hAnsi="Tahoma" w:eastAsia="Times New Roman"/>
      <w:color w:val="000080"/>
    </w:rPr>
  </w:style>
  <w:style w:type="character" w:styleId="FooterChar">
    <w:name w:val="Footer Char"/>
    <w:basedOn w:val="DefaultParagraphFont"/>
    <w:qFormat/>
    <w:rPr>
      <w:rFonts w:ascii="Tahoma" w:hAnsi="Tahoma" w:eastAsia="Times New Roman"/>
      <w:color w:val="000080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/>
      <w:sz w:val="16"/>
      <w:szCs w:val="16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eastAsia="Times New Roman"/>
      <w:sz w:val="24"/>
      <w:szCs w:val="24"/>
      <w:lang w:val="en-US"/>
    </w:rPr>
  </w:style>
  <w:style w:type="character" w:styleId="PlainTextChar">
    <w:name w:val="Plain Text Char"/>
    <w:basedOn w:val="DefaultParagraphFont"/>
    <w:qFormat/>
    <w:rPr>
      <w:rFonts w:ascii="Calibri" w:hAnsi="Calibri" w:eastAsia="Calibri"/>
      <w:szCs w:val="21"/>
    </w:rPr>
  </w:style>
  <w:style w:type="character" w:styleId="Heading1Char">
    <w:name w:val="Heading 1 Char"/>
    <w:basedOn w:val="DefaultParagraphFont"/>
    <w:qFormat/>
    <w:rPr>
      <w:rFonts w:ascii="Cambria" w:hAnsi="Cambria" w:eastAsia="Times New Roman"/>
      <w:b/>
      <w:bCs/>
      <w:sz w:val="32"/>
      <w:szCs w:val="32"/>
    </w:rPr>
  </w:style>
  <w:style w:type="character" w:styleId="Heading2Char">
    <w:name w:val="Heading 2 Char"/>
    <w:basedOn w:val="DefaultParagraphFont"/>
    <w:qFormat/>
    <w:rPr>
      <w:rFonts w:ascii="Times New Roman" w:hAnsi="Times New Roman" w:eastAsia="Times New Roman"/>
      <w:b/>
      <w:bCs/>
      <w:sz w:val="36"/>
      <w:szCs w:val="36"/>
    </w:rPr>
  </w:style>
  <w:style w:type="character" w:styleId="Controlgroup">
    <w:name w:val="control-group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GenStyleDefChar" w:default="1">
    <w:name w:val="GenStyleDefChar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eastAsia="Times New Roman" w:cs="Times New Roman"/>
      <w:bCs/>
      <w:sz w:val="24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Lucida Sans Unicode" w:cs="Times New Roman"/>
      <w:color w:val="00000A"/>
      <w:kern w:val="0"/>
      <w:sz w:val="28"/>
      <w:szCs w:val="28"/>
      <w:lang w:val="en-US" w:eastAsia="en-US" w:bidi="en-US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Caption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Times New Roman" w:cs="Times New Roman"/>
      <w:i/>
      <w:iCs/>
      <w:color w:val="00000A"/>
      <w:kern w:val="0"/>
      <w:sz w:val="24"/>
      <w:szCs w:val="24"/>
      <w:lang w:val="en-US" w:eastAsia="en-US" w:bidi="en-US"/>
    </w:rPr>
  </w:style>
  <w:style w:type="paragraph" w:styleId="Index">
    <w:name w:val="Index"/>
    <w:basedOn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Title">
    <w:name w:val="Title"/>
    <w:basedOn w:val="Normal"/>
    <w:uiPriority w:val="10"/>
    <w:qFormat/>
    <w:pPr>
      <w:pBdr>
        <w:bottom w:val="single" w:sz="24" w:space="0" w:color="000001"/>
      </w:pBdr>
      <w:spacing w:lineRule="auto" w:line="240" w:before="300" w:after="80"/>
    </w:pPr>
    <w:rPr>
      <w:b/>
      <w:color w:val="000000"/>
      <w:sz w:val="72"/>
    </w:rPr>
  </w:style>
  <w:style w:type="paragraph" w:styleId="Subtitle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Default">
    <w:name w:val="Default"/>
    <w:qFormat/>
    <w:pPr>
      <w:widowControl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lang w:val="en-US" w:eastAsia="zh-CN" w:bidi="hi-IN"/>
    </w:rPr>
  </w:style>
  <w:style w:type="paragraph" w:styleId="Textbody1">
    <w:name w:val="Text body"/>
    <w:basedOn w:val="Default"/>
    <w:qFormat/>
    <w:pPr>
      <w:spacing w:lineRule="atLeast" w:line="100" w:before="0" w:after="12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Default"/>
    <w:qFormat/>
    <w:pPr>
      <w:spacing w:lineRule="atLeast" w:line="100" w:before="0" w:after="0"/>
      <w:ind w:left="720" w:right="0" w:hanging="0"/>
    </w:pPr>
    <w:rPr>
      <w:rFonts w:ascii="Tahoma" w:hAnsi="Tahoma" w:eastAsia="Times New Roman"/>
      <w:color w:val="000080"/>
    </w:rPr>
  </w:style>
  <w:style w:type="paragraph" w:styleId="Header">
    <w:name w:val="Header"/>
    <w:basedOn w:val="Default"/>
    <w:pPr>
      <w:tabs>
        <w:tab w:val="center" w:pos="4680" w:leader="none"/>
        <w:tab w:val="right" w:pos="9360" w:leader="none"/>
      </w:tabs>
      <w:spacing w:lineRule="atLeast" w:line="100" w:before="0" w:after="0"/>
    </w:pPr>
    <w:rPr>
      <w:rFonts w:ascii="Tahoma" w:hAnsi="Tahoma" w:eastAsia="Times New Roman"/>
      <w:color w:val="000080"/>
    </w:rPr>
  </w:style>
  <w:style w:type="paragraph" w:styleId="Footer">
    <w:name w:val="Footer"/>
    <w:basedOn w:val="Default"/>
    <w:pPr>
      <w:tabs>
        <w:tab w:val="center" w:pos="4680" w:leader="none"/>
        <w:tab w:val="right" w:pos="9360" w:leader="none"/>
      </w:tabs>
      <w:spacing w:lineRule="atLeast" w:line="100" w:before="0" w:after="0"/>
    </w:pPr>
    <w:rPr>
      <w:rFonts w:ascii="Tahoma" w:hAnsi="Tahoma" w:eastAsia="Times New Roman"/>
      <w:color w:val="000080"/>
    </w:rPr>
  </w:style>
  <w:style w:type="paragraph" w:styleId="BalloonText">
    <w:name w:val="Balloon Text"/>
    <w:basedOn w:val="Default"/>
    <w:qFormat/>
    <w:pPr>
      <w:spacing w:lineRule="atLeast" w:line="100" w:before="0" w:after="0"/>
    </w:pPr>
    <w:rPr>
      <w:rFonts w:ascii="Tahoma" w:hAnsi="Tahoma" w:eastAsia="Times New Roman"/>
      <w:sz w:val="16"/>
      <w:szCs w:val="16"/>
    </w:rPr>
  </w:style>
  <w:style w:type="paragraph" w:styleId="Textbodyindent">
    <w:name w:val="Text body indent"/>
    <w:basedOn w:val="Default"/>
    <w:qFormat/>
    <w:pPr>
      <w:spacing w:lineRule="atLeast" w:line="100" w:before="0" w:after="0"/>
      <w:ind w:left="283" w:right="0" w:firstLine="1080"/>
      <w:jc w:val="both"/>
    </w:pPr>
    <w:rPr>
      <w:rFonts w:ascii="Times New Roman" w:hAnsi="Times New Roman" w:eastAsia="Times New Roman"/>
      <w:sz w:val="24"/>
      <w:szCs w:val="24"/>
      <w:lang w:val="en-US"/>
    </w:rPr>
  </w:style>
  <w:style w:type="paragraph" w:styleId="Yiv1121115045msolistparagraph">
    <w:name w:val="yiv1121115045msolistparagraph"/>
    <w:basedOn w:val="Default"/>
    <w:qFormat/>
    <w:pPr>
      <w:spacing w:lineRule="atLeast" w:line="100" w:before="28" w:after="100"/>
    </w:pPr>
    <w:rPr>
      <w:rFonts w:ascii="Times New Roman" w:hAnsi="Times New Roman" w:eastAsia="Times New Roman"/>
      <w:sz w:val="24"/>
      <w:szCs w:val="24"/>
    </w:rPr>
  </w:style>
  <w:style w:type="paragraph" w:styleId="PlainText">
    <w:name w:val="Plain Text"/>
    <w:basedOn w:val="Default"/>
    <w:qFormat/>
    <w:pPr>
      <w:spacing w:lineRule="atLeast" w:line="100" w:before="0" w:after="0"/>
    </w:pPr>
    <w:rPr>
      <w:szCs w:val="21"/>
    </w:rPr>
  </w:style>
  <w:style w:type="paragraph" w:styleId="Normal1">
    <w:name w:val="Normal1"/>
    <w:basedOn w:val="Default"/>
    <w:qFormat/>
    <w:pPr>
      <w:spacing w:lineRule="atLeast" w:line="100" w:before="280" w:after="280"/>
    </w:pPr>
    <w:rPr>
      <w:rFonts w:ascii="Arial" w:hAnsi="Arial" w:eastAsia="Times New Roman"/>
      <w:lang w:eastAsia="ar-SA"/>
    </w:rPr>
  </w:style>
  <w:style w:type="paragraph" w:styleId="TableContents">
    <w:name w:val="Table Contents"/>
    <w:basedOn w:val="Default"/>
    <w:qFormat/>
    <w:pPr/>
    <w:rPr/>
  </w:style>
  <w:style w:type="paragraph" w:styleId="TOAHeading">
    <w:name w:val="TOA Heading"/>
    <w:basedOn w:val="Heading1"/>
    <w:qFormat/>
    <w:pPr>
      <w:keepLines/>
      <w:spacing w:lineRule="auto" w:line="276" w:before="480" w:after="0"/>
    </w:pPr>
    <w:rPr>
      <w:b/>
      <w:bCs/>
      <w:color w:val="365F91"/>
      <w:sz w:val="28"/>
      <w:szCs w:val="28"/>
      <w:lang w:eastAsia="ja-JP"/>
    </w:rPr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0"/>
      <w:szCs w:val="22"/>
      <w:lang w:val="en-US" w:eastAsia="en-US" w:bidi="en-US"/>
    </w:rPr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9">
    <w:name w:val="Table Grid"/>
    <w:basedOn w:val="109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31">
    <w:name w:val="Lined - Accent 1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32">
    <w:name w:val="Lined - Accent 2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33">
    <w:name w:val="Lined - Accent 3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34">
    <w:name w:val="Lined - Accent 4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35">
    <w:name w:val="Lined - Accent 5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36">
    <w:name w:val="Lined - Accent 6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37">
    <w:name w:val="Bordered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45">
    <w:name w:val="Bordered &amp; Lined - Accent 1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46">
    <w:name w:val="Bordered &amp; Lined - Accent 2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47">
    <w:name w:val="Bordered &amp; Lined - Accent 3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48">
    <w:name w:val="Bordered &amp; Lined - Accent 4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49">
    <w:name w:val="Bordered &amp; Lined - Accent 5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50">
    <w:name w:val="Bordered &amp; Lined - Accent 6"/>
    <w:basedOn w:val="1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109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jiljana.belic@srbobran48.r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LibreOffice/6.0.1.1$Linux_x86 LibreOffice_project/00m0$Build-1</Application>
  <Pages>3</Pages>
  <Words>629</Words>
  <Characters>4153</Characters>
  <CharactersWithSpaces>4705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2018-12-11T13:23:21Z</cp:lastPrinted>
  <dcterms:modified xsi:type="dcterms:W3CDTF">2018-12-12T10:25:30Z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